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14" w:name="_Toc3142"/>
      <w:bookmarkStart w:id="515" w:name="_Toc518836053"/>
      <w:r>
        <w:rPr>
          <w:rFonts w:hint="eastAsia"/>
        </w:rPr>
        <w:t>201</w:t>
      </w:r>
      <w:r>
        <w:t>--</w:t>
      </w:r>
      <w:r>
        <w:rPr>
          <w:rFonts w:hint="eastAsia"/>
        </w:rPr>
        <w:t>中国银监会发展改革委工业和信息化部</w:t>
      </w:r>
      <w:r>
        <w:br w:type="textWrapping"/>
      </w:r>
      <w:r>
        <w:rPr>
          <w:rFonts w:hint="eastAsia"/>
        </w:rPr>
        <w:t>关于钢铁煤炭行业化解过剩产能金融债权债务问题的若干意见</w:t>
      </w:r>
      <w:r>
        <w:br w:type="textWrapping"/>
      </w:r>
      <w:r>
        <w:rPr>
          <w:rFonts w:hint="eastAsia"/>
        </w:rPr>
        <w:t>（银监发〔2016〕51号）</w:t>
      </w:r>
      <w:bookmarkEnd w:id="514"/>
      <w:bookmarkEnd w:id="515"/>
    </w:p>
    <w:p>
      <w:pPr>
        <w:adjustRightInd w:val="0"/>
        <w:snapToGrid w:val="0"/>
        <w:spacing w:line="312" w:lineRule="auto"/>
        <w:rPr>
          <w:rFonts w:hint="eastAsia" w:ascii="仿宋" w:hAnsi="仿宋" w:eastAsia="仿宋"/>
        </w:rPr>
      </w:pPr>
      <w:r>
        <w:rPr>
          <w:rFonts w:ascii="仿宋" w:hAnsi="仿宋" w:eastAsia="仿宋"/>
        </w:rPr>
        <w:t>各银监局，各省（区、市）发展改革部门、工业和信息化部门，各政策性银行、大型银行、股份制银行，邮储银行，外资银行，金融资产管理公司，其他会管金融机构：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为贯彻《国务院关于钢铁行业化解过剩产能实现脱困发展的意见》（国发〔2016〕6号）、《国务院关于煤炭行业化解过剩产能实现脱困发展的意见》（国发〔2016〕7号）精神，妥善处置化解过剩产能过程中的有关金融债权债务，根据《中华人民共和国银行业监督管理法》、《中华人民共和国商业银行法》等法律法规，现就钢铁煤炭行业化解过剩产能涉及金融债权债务问题提出以下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支持钢铁煤炭企业合理资金需求。银行业金融机构要提高对钢铁煤炭行业在国民经济中支柱性、战略性地位的认识，认真贯彻落实区别对待、有扶有控的信贷政策。对技术设备先进、产品有竞争力、有市场的钢铁煤炭企业，银行业金融机构应当按照风险可控、商业可持续原则，继续给予信贷支持，不得抽贷、压贷、断贷。</w:t>
      </w:r>
    </w:p>
    <w:p>
      <w:pPr>
        <w:adjustRightInd w:val="0"/>
        <w:snapToGrid w:val="0"/>
        <w:spacing w:line="312" w:lineRule="auto"/>
        <w:ind w:firstLine="420" w:firstLineChars="200"/>
        <w:rPr>
          <w:rFonts w:hint="eastAsia" w:ascii="仿宋" w:hAnsi="仿宋" w:eastAsia="仿宋"/>
        </w:rPr>
      </w:pPr>
      <w:r>
        <w:rPr>
          <w:rFonts w:ascii="仿宋" w:hAnsi="仿宋" w:eastAsia="仿宋"/>
        </w:rPr>
        <w:t>二、加大对兼并重组钢铁煤炭企业的金融支持力度。鼓励符合条件的钢铁煤炭企业开展并购重组。支持银行业金融机构按照依法合规、自主决策、风险可控、商业可持续原则，对能产生整合效应的钢铁煤炭兼并重组项目采取银团贷款等方式，积极稳妥开展并购贷款业务。对符合并购贷款条件的兼并重组企业，并购交易价款中并购贷款所占比例上限可提高至70%。</w:t>
      </w:r>
    </w:p>
    <w:p>
      <w:pPr>
        <w:adjustRightInd w:val="0"/>
        <w:snapToGrid w:val="0"/>
        <w:spacing w:line="312" w:lineRule="auto"/>
        <w:ind w:firstLine="420" w:firstLineChars="200"/>
        <w:rPr>
          <w:rFonts w:hint="eastAsia" w:ascii="仿宋" w:hAnsi="仿宋" w:eastAsia="仿宋"/>
        </w:rPr>
      </w:pPr>
      <w:r>
        <w:rPr>
          <w:rFonts w:ascii="仿宋" w:hAnsi="仿宋" w:eastAsia="仿宋"/>
        </w:rPr>
        <w:t>三、鼓励银行业金融机构对主动去产能的钢铁煤炭困难企业进行贷款重组。对符合国家产业政策、主动去产能、具有持续经营能力、还款能力与还款意愿强、贷款到期后仍有融资需求、但暂时存在资金困难的钢铁煤炭企业，银行业金融机构在风险可控、商业可持续原则前提下，可以进行贷款重组，调整贷款结构，合理确定贷款期限，按照国家有关规定减免利息。</w:t>
      </w:r>
    </w:p>
    <w:p>
      <w:pPr>
        <w:adjustRightInd w:val="0"/>
        <w:snapToGrid w:val="0"/>
        <w:spacing w:line="312" w:lineRule="auto"/>
        <w:ind w:firstLine="420" w:firstLineChars="200"/>
        <w:rPr>
          <w:rFonts w:hint="eastAsia" w:ascii="仿宋" w:hAnsi="仿宋" w:eastAsia="仿宋"/>
        </w:rPr>
      </w:pPr>
      <w:r>
        <w:rPr>
          <w:rFonts w:ascii="仿宋" w:hAnsi="仿宋" w:eastAsia="仿宋"/>
        </w:rPr>
        <w:t>四、严控违规新增钢铁煤炭产能的信贷投放。对违规新增钢铁煤炭产能项目，银行业金融机构一律不得提供信贷支持；对违规新增产能的企业，停止贷款。</w:t>
      </w:r>
    </w:p>
    <w:p>
      <w:pPr>
        <w:adjustRightInd w:val="0"/>
        <w:snapToGrid w:val="0"/>
        <w:spacing w:line="312" w:lineRule="auto"/>
        <w:ind w:firstLine="420" w:firstLineChars="200"/>
        <w:rPr>
          <w:rFonts w:hint="eastAsia" w:ascii="仿宋" w:hAnsi="仿宋" w:eastAsia="仿宋"/>
        </w:rPr>
      </w:pPr>
      <w:r>
        <w:rPr>
          <w:rFonts w:ascii="仿宋" w:hAnsi="仿宋" w:eastAsia="仿宋"/>
        </w:rPr>
        <w:t>五、坚决停止对落后产能和“僵尸企业”的金融支持。对不符合国家产业政策规定的落后产能企业，或环保、能耗、质量、安全生产、技术等不达标且整改无望的企业，或已停产半停产、连年亏损、资不抵债、失去清偿能力的“僵尸企业”，以及有恶意逃废债行为的企业，银行业金融机构要坚决压缩、退出相关贷款。</w:t>
      </w:r>
    </w:p>
    <w:p>
      <w:pPr>
        <w:adjustRightInd w:val="0"/>
        <w:snapToGrid w:val="0"/>
        <w:spacing w:line="312" w:lineRule="auto"/>
        <w:ind w:firstLine="420" w:firstLineChars="200"/>
        <w:rPr>
          <w:rFonts w:hint="eastAsia" w:ascii="仿宋" w:hAnsi="仿宋" w:eastAsia="仿宋"/>
        </w:rPr>
      </w:pPr>
      <w:r>
        <w:rPr>
          <w:rFonts w:ascii="仿宋" w:hAnsi="仿宋" w:eastAsia="仿宋"/>
        </w:rPr>
        <w:t>六、推动组建债权人委员会，对困难钢铁煤炭企业实施债务重组。对符合国家产业政策，主动去产能、调结构、转型发展，产品或服务有市场，发展有前景的钢铁煤炭企业，银行业金融机构应当组建债权人委员会，按照市场化、法治化原则，通过调整贷款期限、利率、还款方式等措施，实施金融债务重组。银行业金融机构组建债权人委员会，应当按照银监会关于做好银行业金融机构债权人委员会有关工作的通知</w:t>
      </w:r>
      <w:r>
        <w:rPr>
          <w:rFonts w:ascii="仿宋" w:hAnsi="仿宋" w:eastAsia="仿宋"/>
        </w:rPr>
        <w:br w:type="textWrapping"/>
      </w:r>
      <w:r>
        <w:rPr>
          <w:rFonts w:ascii="仿宋" w:hAnsi="仿宋" w:eastAsia="仿宋"/>
        </w:rPr>
        <w:t>精神，开展自主重组、协议重组和协议并司法重组，支持暂时困难的钢铁煤炭企业发展。债券投资人可以加入债权人委员会，共同解决企业债务问题。切实做到稳定预期、稳定信贷、稳定支持，帮助企业渡过难关。</w:t>
      </w:r>
    </w:p>
    <w:p>
      <w:pPr>
        <w:adjustRightInd w:val="0"/>
        <w:snapToGrid w:val="0"/>
        <w:spacing w:line="312" w:lineRule="auto"/>
        <w:ind w:firstLine="420" w:firstLineChars="200"/>
        <w:rPr>
          <w:rFonts w:hint="eastAsia" w:ascii="仿宋" w:hAnsi="仿宋" w:eastAsia="仿宋"/>
        </w:rPr>
      </w:pPr>
      <w:r>
        <w:rPr>
          <w:rFonts w:ascii="仿宋" w:hAnsi="仿宋" w:eastAsia="仿宋"/>
        </w:rPr>
        <w:t>协调地方人民政府及相关部门采取有力措施，支持债权人委员会相关工作，共同解决企业债务重组等重大问题。</w:t>
      </w:r>
    </w:p>
    <w:p>
      <w:pPr>
        <w:adjustRightInd w:val="0"/>
        <w:snapToGrid w:val="0"/>
        <w:spacing w:line="312" w:lineRule="auto"/>
        <w:ind w:firstLine="420" w:firstLineChars="200"/>
        <w:rPr>
          <w:rFonts w:hint="eastAsia" w:ascii="仿宋" w:hAnsi="仿宋" w:eastAsia="仿宋"/>
        </w:rPr>
      </w:pPr>
      <w:r>
        <w:rPr>
          <w:rFonts w:ascii="仿宋" w:hAnsi="仿宋" w:eastAsia="仿宋"/>
        </w:rPr>
        <w:t>七、支持金融资产管理公司、地方资产管理公司等多类型实施机构对钢铁煤炭企业开展市场化债转股。对资产负债率较高、在国民经济中占重要地位、具备发展潜力的钢铁煤炭骨干企业，支持金融资产管理公司、地方资产管理公司、银行现有符合条件的所属机构或设立的符合规定的新机构等多种类型实施机构按照国家法律法规和国家有关规定，按照市场化、法治化的原则，开展债转股工作，依法行使股东权利，改进公司治理结构。</w:t>
      </w:r>
    </w:p>
    <w:p>
      <w:pPr>
        <w:adjustRightInd w:val="0"/>
        <w:snapToGrid w:val="0"/>
        <w:spacing w:line="312" w:lineRule="auto"/>
        <w:ind w:firstLine="420" w:firstLineChars="200"/>
        <w:rPr>
          <w:rFonts w:hint="eastAsia" w:ascii="仿宋" w:hAnsi="仿宋" w:eastAsia="仿宋"/>
        </w:rPr>
      </w:pPr>
      <w:r>
        <w:rPr>
          <w:rFonts w:ascii="仿宋" w:hAnsi="仿宋" w:eastAsia="仿宋"/>
        </w:rPr>
        <w:t>八、支持产业基金和股权投资基金投资钢铁煤炭骨干企业。引导社会资本参与钢铁煤炭企业的脱困发展，支持产业基金和股权投资基金特别是地方政府成立的产业基金和股权投资基金，投资入股产品有市场、发展有前景、但资产负债率较高的钢铁煤炭骨干企业，依法行使股东权利。</w:t>
      </w:r>
    </w:p>
    <w:p>
      <w:pPr>
        <w:adjustRightInd w:val="0"/>
        <w:snapToGrid w:val="0"/>
        <w:spacing w:line="312" w:lineRule="auto"/>
        <w:ind w:firstLine="420" w:firstLineChars="200"/>
        <w:rPr>
          <w:rFonts w:hint="eastAsia" w:ascii="仿宋" w:hAnsi="仿宋" w:eastAsia="仿宋"/>
        </w:rPr>
      </w:pPr>
      <w:r>
        <w:rPr>
          <w:rFonts w:ascii="仿宋" w:hAnsi="仿宋" w:eastAsia="仿宋"/>
        </w:rPr>
        <w:t>九、妥善处置钢铁煤炭企业集团的担保问题。对钢铁煤炭企业集团主动去产能、依法关闭破产子公司，履行担保责任确有困难的，由钢铁煤炭企业集团与银行业金融机构按照市场化、法治化、互惠互利的原则进行协商处理，妥善处置担保问题。</w:t>
      </w:r>
    </w:p>
    <w:p>
      <w:pPr>
        <w:adjustRightInd w:val="0"/>
        <w:snapToGrid w:val="0"/>
        <w:spacing w:line="312" w:lineRule="auto"/>
        <w:ind w:firstLine="420" w:firstLineChars="200"/>
        <w:rPr>
          <w:rFonts w:hint="eastAsia" w:ascii="仿宋" w:hAnsi="仿宋" w:eastAsia="仿宋"/>
        </w:rPr>
      </w:pPr>
      <w:r>
        <w:rPr>
          <w:rFonts w:ascii="仿宋" w:hAnsi="仿宋" w:eastAsia="仿宋"/>
        </w:rPr>
        <w:t>十、妥善处置涉及钢铁煤炭企业的不良资产。要按照市场化、法治化、互惠互利的原则，充分发挥金融资产管理公司和地方资产管理公司批量处置不良资产和综合性金融服务功能的积极作用。银行业金融机构要加大涉及钢铁煤炭企业不良资产的转让力度，鼓励银行业金融机构与资产管理公司创新合作处置模式，发挥好双方优势，通过合作处置，提升价值，实现银行业金融机构、资产管理公司与钢铁煤炭企业的共赢，维护经济金融秩序。</w:t>
      </w:r>
    </w:p>
    <w:p>
      <w:pPr>
        <w:adjustRightInd w:val="0"/>
        <w:snapToGrid w:val="0"/>
        <w:spacing w:line="312" w:lineRule="auto"/>
        <w:ind w:firstLine="420" w:firstLineChars="200"/>
        <w:rPr>
          <w:rFonts w:hint="eastAsia" w:ascii="仿宋" w:hAnsi="仿宋" w:eastAsia="仿宋"/>
        </w:rPr>
      </w:pPr>
      <w:r>
        <w:rPr>
          <w:rFonts w:ascii="仿宋" w:hAnsi="仿宋" w:eastAsia="仿宋"/>
        </w:rPr>
        <w:t>十一、依法维护涉及破产清算钢铁煤炭企业的金融债权。对严重资不抵债、不能清偿到期债务的“僵尸企业”，或不达标产能、落后产能、整体退出产能的企业，要依照《中华人民共和国企业破产法》等法律法规，建立债权人委员会，通过债务和解、破产重整、破产清算等方式，妥善处理企业债务，积极维护金融债权安全。</w:t>
      </w:r>
    </w:p>
    <w:p>
      <w:pPr>
        <w:adjustRightInd w:val="0"/>
        <w:snapToGrid w:val="0"/>
        <w:spacing w:line="312" w:lineRule="auto"/>
        <w:ind w:firstLine="420" w:firstLineChars="200"/>
        <w:rPr>
          <w:rFonts w:hint="eastAsia" w:ascii="仿宋" w:hAnsi="仿宋" w:eastAsia="仿宋"/>
        </w:rPr>
      </w:pPr>
      <w:r>
        <w:rPr>
          <w:rFonts w:ascii="仿宋" w:hAnsi="仿宋" w:eastAsia="仿宋"/>
        </w:rPr>
        <w:t>十二、依法打击逃废金融债务行为。钢铁煤炭去产能过程中，一些地区和企业借转型、转产之机悬空金融债务，或通过转移、出售企业有效资产逃废金融债务，或不尊重金融债权人的合法权益，组织破产逃废金融债务。各级银行业监督管理机构要组织银行业协会、银行业金融机构加强金融债权管理，及时制止逃废金融债务行为，并向地方政府报告；对于拒不纠正的企业，组织实施停止贷款、停止结算等制裁措施，纳入全国信用信息共享平台，通过失信惩戒机制实施联合惩戒，切实遏制逃废金融债务行为。</w:t>
      </w:r>
    </w:p>
    <w:p>
      <w:pPr>
        <w:adjustRightInd w:val="0"/>
        <w:snapToGrid w:val="0"/>
        <w:spacing w:line="312" w:lineRule="auto"/>
        <w:ind w:firstLine="420" w:firstLineChars="200"/>
        <w:rPr>
          <w:rFonts w:hint="eastAsia" w:ascii="仿宋" w:hAnsi="仿宋" w:eastAsia="仿宋"/>
        </w:rPr>
      </w:pPr>
      <w:r>
        <w:rPr>
          <w:rFonts w:ascii="仿宋" w:hAnsi="仿宋" w:eastAsia="仿宋"/>
        </w:rPr>
        <w:t>十三、加强主管部门、行业协会和企业与银行业金融机构的信息沟通。银行业金融机构在落实政策过程中，应加强与发展改革部门、工业和信息化部门等主管部门、行业协会和钢铁煤炭企业的沟通与交流，解决银政、银企信息不对称问题。各银监局应加强对银行业金融机构的指导和监督。</w:t>
      </w:r>
    </w:p>
    <w:p>
      <w:pPr>
        <w:adjustRightInd w:val="0"/>
        <w:snapToGrid w:val="0"/>
        <w:spacing w:line="312" w:lineRule="auto"/>
        <w:ind w:firstLine="420" w:firstLineChars="200"/>
        <w:rPr>
          <w:rFonts w:hint="eastAsia" w:ascii="仿宋" w:hAnsi="仿宋" w:eastAsia="仿宋"/>
        </w:rPr>
      </w:pPr>
      <w:r>
        <w:rPr>
          <w:rFonts w:ascii="仿宋" w:hAnsi="仿宋" w:eastAsia="仿宋"/>
        </w:rPr>
        <w:t>各级发展改革部门、工业和信息化部门等应及时公布行业发展情况、产业规划调整方案、“僵尸企业”、涉及淘汰落后和过剩产能企业和项目名单，帮助银行业金融机构落实好“有保有控”的差别化信贷政策。</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各银监局、各省（区、市）发展改革部门、工业和信息化部门以及银行业金融机构在贯彻落实本意见过程中遇有问题应及时报告。银监会、发展改革委、工业和信息化部将适时组织对本意见执行情况的检查监督。</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发展改革委</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工业和信息化部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2016年12月1日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