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>
      <w:pPr>
        <w:pStyle w:val="2"/>
        <w:rPr>
          <w:rFonts w:hint="eastAsia"/>
        </w:rPr>
      </w:pPr>
      <w:bookmarkStart w:id="544" w:name="_Toc518836068"/>
      <w:bookmarkStart w:id="545" w:name="_Toc14480"/>
      <w:r>
        <w:rPr>
          <w:rFonts w:hint="eastAsia"/>
        </w:rPr>
        <w:t>216--中国银行业监督管理委员会办公厅</w:t>
      </w:r>
      <w:r>
        <w:br w:type="textWrapping"/>
      </w:r>
      <w:r>
        <w:rPr>
          <w:rFonts w:hint="eastAsia"/>
        </w:rPr>
        <w:t>关于给予违反利率管理规定行为行政处罚有关问题的批复</w:t>
      </w:r>
      <w:r>
        <w:br w:type="textWrapping"/>
      </w:r>
      <w:r>
        <w:rPr>
          <w:rFonts w:hint="eastAsia"/>
        </w:rPr>
        <w:t>（银监办发〔2004〕144号）</w:t>
      </w:r>
      <w:bookmarkEnd w:id="544"/>
      <w:bookmarkEnd w:id="545"/>
    </w:p>
    <w:p>
      <w:pPr>
        <w:adjustRightInd w:val="0"/>
        <w:snapToGrid w:val="0"/>
        <w:spacing w:line="312" w:lineRule="auto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安徽银监局：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你局《关于对违反利率管理规定行为的行政处罚主体问题的请示》（皖银监发〔2003〕19号）收悉。经研究，现批复如下：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一、银行业金融机构违反规定提高或者降低存款利率、贷款利率的，银监局根据授权，有权给予行政处罚。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你局有权依法处罚邮政储蓄机构提高利率吸收存款的违法行为。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二、对违法行为的查处，从违法行为开始之日起计算，而不是银监局成立之日。</w:t>
      </w:r>
    </w:p>
    <w:p>
      <w:pPr>
        <w:adjustRightInd w:val="0"/>
        <w:snapToGrid w:val="0"/>
        <w:spacing w:line="312" w:lineRule="auto"/>
        <w:ind w:firstLine="420" w:firstLineChars="200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你局请示中的违法行为应从2003年10月9日起计算。</w:t>
      </w:r>
    </w:p>
    <w:p>
      <w:pPr>
        <w:adjustRightInd w:val="0"/>
        <w:snapToGrid w:val="0"/>
        <w:spacing w:line="312" w:lineRule="auto"/>
        <w:ind w:firstLine="420" w:firstLineChars="200"/>
        <w:jc w:val="right"/>
        <w:rPr>
          <w:rFonts w:hint="eastAsia" w:ascii="仿宋" w:hAnsi="仿宋" w:eastAsia="仿宋"/>
        </w:rPr>
      </w:pPr>
      <w:r>
        <w:rPr>
          <w:rFonts w:ascii="仿宋" w:hAnsi="仿宋" w:eastAsia="仿宋"/>
        </w:rPr>
        <w:t>二○○四年四月二十九日</w:t>
      </w:r>
    </w:p>
    <w:p>
      <w:pPr>
        <w:widowControl/>
        <w:jc w:val="left"/>
        <w:rPr>
          <w:rFonts w:hint="eastAsia" w:ascii="仿宋" w:hAnsi="仿宋" w:eastAsia="仿宋"/>
          <w:b/>
          <w:bCs/>
          <w:kern w:val="44"/>
          <w:szCs w:val="21"/>
        </w:rPr>
      </w:pPr>
      <w:r>
        <w:rPr>
          <w:rFonts w:ascii="仿宋" w:hAnsi="仿宋" w:eastAsia="仿宋"/>
          <w:szCs w:val="21"/>
        </w:rPr>
        <w:br w:type="page"/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