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550" w:name="_Toc5611"/>
      <w:bookmarkStart w:id="551" w:name="_Toc518836071"/>
      <w:r>
        <w:rPr>
          <w:rFonts w:hint="eastAsia"/>
        </w:rPr>
        <w:t>219</w:t>
      </w:r>
      <w:r>
        <w:t>--</w:t>
      </w:r>
      <w:r>
        <w:rPr>
          <w:rFonts w:hint="eastAsia"/>
        </w:rPr>
        <w:t>中国银行业监督管理委员会办公厅</w:t>
      </w:r>
      <w:r>
        <w:br w:type="textWrapping"/>
      </w:r>
      <w:r>
        <w:rPr>
          <w:rFonts w:hint="eastAsia"/>
        </w:rPr>
        <w:t>关于企业向社会公众公开征募担保人有关问题的批复</w:t>
      </w:r>
      <w:r>
        <w:br w:type="textWrapping"/>
      </w:r>
      <w:r>
        <w:rPr>
          <w:rFonts w:hint="eastAsia"/>
        </w:rPr>
        <w:t>（银监办发〔2005〕175号）</w:t>
      </w:r>
      <w:bookmarkEnd w:id="550"/>
      <w:bookmarkEnd w:id="551"/>
    </w:p>
    <w:p>
      <w:pPr>
        <w:adjustRightInd w:val="0"/>
        <w:snapToGrid w:val="0"/>
        <w:spacing w:line="312" w:lineRule="auto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江苏银监局：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你局《关于企业向社会公众公开征募担保人有关问题的请示》（苏银监发〔2005〕18号）收悉。根据你局提供的材料，经研究，现批复如下：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一、企业通过向社会公众公开征募担保人，并以所征募的担保人提供担保的方式提出贷款申请，法律没有禁止性规定，银行能否受理由银行自主决定。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二、考虑到向社会公众公开征募担保人的风险性，银行不宜参与宣传，不宜在营业场所推介此项业务；借款企业不能在银行营业场所与个人签订有关合作协议，不能在营业场所向个人披露财务等有关信息。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三、根据《中华人民共和国商业银行法》第三十六条规定，“商业银行贷款，借款人应当提供担保。商业银行应当对保证人的偿还能力，抵押物、质物的权属和价值以及实现抵押权、质权的可行性严格审查”。商业银行应严格审查担保人的信用，以及行使质权的可行性，切实防范和控制金融风险。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四、担保起点金额问题是企业和担保人之间的民事行为，应由当事人双方自行协商决定。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二○○五年七月二十七日</w:t>
      </w:r>
    </w:p>
    <w:p>
      <w:pPr>
        <w:widowControl/>
        <w:jc w:val="left"/>
        <w:rPr>
          <w:rFonts w:hint="eastAsia" w:ascii="仿宋" w:hAnsi="仿宋" w:eastAsia="仿宋"/>
          <w:b/>
          <w:bCs/>
          <w:kern w:val="44"/>
          <w:szCs w:val="21"/>
        </w:rPr>
      </w:pPr>
      <w:r>
        <w:rPr>
          <w:rFonts w:ascii="仿宋" w:hAnsi="仿宋" w:eastAsia="仿宋"/>
          <w:szCs w:val="21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