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 w:name="_Toc23142"/>
      <w:bookmarkStart w:id="66" w:name="_Toc518835869"/>
      <w:r>
        <w:rPr>
          <w:rFonts w:hint="eastAsia"/>
        </w:rPr>
        <w:t>22</w:t>
      </w:r>
      <w:r>
        <w:t>--</w:t>
      </w:r>
      <w:r>
        <w:rPr>
          <w:rFonts w:hint="eastAsia"/>
        </w:rPr>
        <w:t>中国银行业监督管理委员会关于印发</w:t>
      </w:r>
      <w:r>
        <w:br w:type="textWrapping"/>
      </w:r>
      <w:r>
        <w:rPr>
          <w:rFonts w:hint="eastAsia"/>
        </w:rPr>
        <w:t>《商业银行小企业授信工作尽职指引（试行）》的通知</w:t>
      </w:r>
      <w:r>
        <w:rPr>
          <w:rFonts w:hint="eastAsia"/>
        </w:rPr>
        <w:br w:type="textWrapping"/>
      </w:r>
      <w:r>
        <w:rPr>
          <w:rFonts w:hint="eastAsia"/>
        </w:rPr>
        <w:t>（银监发〔2006〕69号）</w:t>
      </w:r>
      <w:bookmarkEnd w:id="65"/>
      <w:bookmarkEnd w:id="66"/>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各银监局，各政策性银行、国有商业银行、股份制商业银行、金融资产管理公司，国家邮政局邮政储汇局，银监会直接监管的信托公司、财务公司、金融租赁公司：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现将《商业银行小企业授信工作尽职指引（试行）》印发给你们，请认真贯彻落实。请各银监局将本通知转发至辖内各银行业金融机构。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二00六年九月二十六日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商业银行小企业授信工作尽职指引（试行）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进一步完善商业银行小企业授信工作机制，规范小企业授信管理，明确授信工作尽职要求，促进小企业授信业务可持续发展，依据《中华人民共和国商业银行法》、《中华人民共和国银行业监督管理法》、《银行开展小企业贷款业务指导意见》等法律法规和相关规定，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小企业授信工作尽职是指商业银行从事小企业授信业务调查、授信审查、授信审批、授信后管理等各项授信业务活动的工作人员履行了本指引规定的最基本的尽职要求。对微小企业的小额授信，商业银行可视情况简化上述授信环节，适当扩大客户经理授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商业银行应制定小企业授信政策，建立决策机制、管理信息系统和业务操作流程，并及时进行评估和完善。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商业银行制定的小企业授信政策应体现小企业经营规律、小企业授信业务风险特点，并实行差别化授信管理。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（一）应注重实地调查和信息收集，了解和掌握客户经营动态和资信状况。</w:t>
      </w:r>
    </w:p>
    <w:p>
      <w:pPr>
        <w:adjustRightInd w:val="0"/>
        <w:snapToGrid w:val="0"/>
        <w:spacing w:line="312" w:lineRule="auto"/>
        <w:ind w:firstLine="420" w:firstLineChars="200"/>
        <w:rPr>
          <w:rFonts w:hint="eastAsia" w:ascii="仿宋" w:hAnsi="仿宋" w:eastAsia="仿宋"/>
        </w:rPr>
      </w:pPr>
      <w:r>
        <w:rPr>
          <w:rFonts w:ascii="仿宋" w:hAnsi="仿宋" w:eastAsia="仿宋"/>
        </w:rPr>
        <w:t>（二）应在控制风险的前提下，合理设定对小企业授信的审批权限，简化审批流程，提高审批效率。</w:t>
      </w:r>
    </w:p>
    <w:p>
      <w:pPr>
        <w:adjustRightInd w:val="0"/>
        <w:snapToGrid w:val="0"/>
        <w:spacing w:line="312" w:lineRule="auto"/>
        <w:ind w:firstLine="420" w:firstLineChars="200"/>
        <w:rPr>
          <w:rFonts w:hint="eastAsia" w:ascii="仿宋" w:hAnsi="仿宋" w:eastAsia="仿宋"/>
        </w:rPr>
      </w:pPr>
      <w:r>
        <w:rPr>
          <w:rFonts w:ascii="仿宋" w:hAnsi="仿宋" w:eastAsia="仿宋"/>
        </w:rPr>
        <w:t>（三）应建立风险定价机制，对不同小企业或不同授信实行差别定价，并随风险变化及时调整。</w:t>
      </w:r>
    </w:p>
    <w:p>
      <w:pPr>
        <w:adjustRightInd w:val="0"/>
        <w:snapToGrid w:val="0"/>
        <w:spacing w:line="312" w:lineRule="auto"/>
        <w:ind w:firstLine="420" w:firstLineChars="200"/>
        <w:rPr>
          <w:rFonts w:hint="eastAsia" w:ascii="仿宋" w:hAnsi="仿宋" w:eastAsia="仿宋"/>
        </w:rPr>
      </w:pPr>
      <w:r>
        <w:rPr>
          <w:rFonts w:ascii="仿宋" w:hAnsi="仿宋" w:eastAsia="仿宋"/>
        </w:rPr>
        <w:t>（四）应对小企业授信业务单独核算。</w:t>
      </w:r>
    </w:p>
    <w:p>
      <w:pPr>
        <w:adjustRightInd w:val="0"/>
        <w:snapToGrid w:val="0"/>
        <w:spacing w:line="312" w:lineRule="auto"/>
        <w:ind w:firstLine="420" w:firstLineChars="200"/>
        <w:rPr>
          <w:rFonts w:hint="eastAsia" w:ascii="仿宋" w:hAnsi="仿宋" w:eastAsia="仿宋"/>
        </w:rPr>
      </w:pPr>
      <w:r>
        <w:rPr>
          <w:rFonts w:ascii="仿宋" w:hAnsi="仿宋" w:eastAsia="仿宋"/>
        </w:rPr>
        <w:t>（五）应建立激励约束机制，将小企业信贷人员的收入与业务量、贷款风险、贷款收益等指标挂钩。</w:t>
      </w:r>
    </w:p>
    <w:p>
      <w:pPr>
        <w:adjustRightInd w:val="0"/>
        <w:snapToGrid w:val="0"/>
        <w:spacing w:line="312" w:lineRule="auto"/>
        <w:ind w:firstLine="420" w:firstLineChars="200"/>
        <w:rPr>
          <w:rFonts w:hint="eastAsia" w:ascii="仿宋" w:hAnsi="仿宋" w:eastAsia="仿宋"/>
        </w:rPr>
      </w:pPr>
      <w:r>
        <w:rPr>
          <w:rFonts w:ascii="仿宋" w:hAnsi="仿宋" w:eastAsia="仿宋"/>
        </w:rPr>
        <w:t>（六）应积极开展产品创新，推出符合小企业需求的授信产品和金融服务。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（七）应以客户为导向，建立灵活适用的授信工作机制，在授信金额、利率、期限等方面满足小企业灵活、多样的信贷需求。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商业银行应建立小企业授信管理部门和专业队伍。小企业授信业务应实行客户经理制，坚持双人进行业务调查。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商业银行应鼓励客户经理在商业银行服务所在社区建立广泛的、经常性的社区关系，以收集信息，提高效率，监督贷款的使用情况。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加强对小企业授信工作人员的培训，使其更新理念，掌握小企业授信业务特点和风险控制方法，提高营销和收集、整理、分析财务和非财务信息的能力，熟悉小企业授信工作职责和尽职要求，逐步形成良好的小企业信贷文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商业银行小企业授信工作人员及授信工作尽职评价人员应遵循客观、公正、诚信原则，独立履行职责，不受人为的外部因素干扰。小企业授信工作人员应在授信业务活动中声明是否为授信申请人的关系人。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商业银行应加强小企业授信档案管理，对银企双方的权利、义务、约定、各种形式的往来及违约纠正措施进行客观、全面的记录并存档。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商业银行应建立小企业授信工作尽职评价制度及相应的问责与免责制度，明确规定各授信部门、岗位的职责和尽职要求，对违法、违规造成的授信风险进行责任认定，并按规定对有关责任人进行处理。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授信调查尽职要求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商业银行应根据本行发展战略和小企业业务特点，细分市场，研究各类目标客户群的经营规律和风险特征，明确客户的基本准入条件。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客户经理应根据授信种类收集客户基本信息，包括客户身份证明、授信主体资格、财务信息等，具体参见《附录》中的“客户基本信息提示”。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客户经理应关注并收集客户的非财务信息，包括业主或主要股东个人信息及家庭资信情况、企业经营管理、技术、行业状况及市场前景等，具体参见《附录》中的“非财务信息提示”。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客户经理应对客户提供的资料以及所收集信息的合法性、真实性进行核实，核实的过程和结果应予以记载。核实应以实地调查为主。信息收集与核实可同时进行。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客户经理应根据调查核实的信息，编制有关小企业或其业主或主要股东的资产负债表和现金流量表，作为分析客户财务状况和偿还能力的主要依据。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客户经理应根据核实、分析结果，出具书面调查报告。调查报告应对客户借款事由、还款能力、现金流量、业主或主要股东个人信用情况进行分析，并对授信品种、金额、用途、利率、服务收费、期限、偿还方式、担保条件等提出建议。</w:t>
      </w:r>
    </w:p>
    <w:p>
      <w:pPr>
        <w:adjustRightInd w:val="0"/>
        <w:snapToGrid w:val="0"/>
        <w:spacing w:line="312" w:lineRule="auto"/>
        <w:ind w:firstLine="420" w:firstLineChars="200"/>
        <w:rPr>
          <w:rFonts w:hint="eastAsia" w:ascii="仿宋" w:hAnsi="仿宋" w:eastAsia="仿宋"/>
        </w:rPr>
      </w:pPr>
      <w:r>
        <w:rPr>
          <w:rFonts w:ascii="仿宋" w:hAnsi="仿宋" w:eastAsia="仿宋"/>
        </w:rPr>
        <w:t>调查报告内容还须包含对银监会等相关征信系统中有关小企业及其业主或主要股东个人的查询情况。</w:t>
      </w:r>
    </w:p>
    <w:p>
      <w:pPr>
        <w:adjustRightInd w:val="0"/>
        <w:snapToGrid w:val="0"/>
        <w:spacing w:line="312" w:lineRule="auto"/>
        <w:ind w:firstLine="420" w:firstLineChars="200"/>
        <w:rPr>
          <w:rFonts w:hint="eastAsia" w:ascii="仿宋" w:hAnsi="仿宋" w:eastAsia="仿宋"/>
        </w:rPr>
      </w:pPr>
      <w:r>
        <w:rPr>
          <w:rFonts w:ascii="仿宋" w:hAnsi="仿宋" w:eastAsia="仿宋"/>
        </w:rPr>
        <w:t>撰写调查报告应遵循适用、精炼和标准化，在90天内向同一客户多次授信时，经确认客户资信未发生实质性变化，原有调查报告在补充有关情况后继续有效。</w:t>
      </w:r>
    </w:p>
    <w:p>
      <w:pPr>
        <w:adjustRightInd w:val="0"/>
        <w:snapToGrid w:val="0"/>
        <w:spacing w:line="312" w:lineRule="auto"/>
        <w:ind w:firstLine="420" w:firstLineChars="200"/>
        <w:rPr>
          <w:rFonts w:hint="eastAsia" w:ascii="仿宋" w:hAnsi="仿宋" w:eastAsia="仿宋"/>
        </w:rPr>
      </w:pPr>
      <w:r>
        <w:rPr>
          <w:rFonts w:ascii="仿宋" w:hAnsi="仿宋" w:eastAsia="仿宋"/>
        </w:rPr>
        <w:t>客户经理应对调查报告中所含信息的真实性及调查结论负责。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可授予客户经理一定的授信权，经授信调查、核实后，两名客户经理可在权限内决定是否予以授信，并实行双签制。对微小企业的小额授信，客户经理可把客户生产经营货款回笼情况、缴纳各种税费情况、诚信记录等反映偿还能力和偿还意愿的基本信息作为授信与否的主要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发生影响客户履约能力的重大事项时，商业银行应实地调查核实，并在档案中予以记载。同时，授信工作人员应加强沟通，确保各方均能及时掌握相关信息。影响客户履约能力的重大事项包括：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（一）外部政策、经济环境发生重大变化；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（二）客户业主或主要股东或关联企业超能力对外担保，或抵（质）押物价值发生重大变化；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（三）客户业主或主要股东或关联企业财务状况发生重大变化；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（四）客户业主或主要股东或关联企业涉及诉讼；</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（五）客户业主或主要股东或关联企业有重大违约行为；</w:t>
      </w:r>
    </w:p>
    <w:p>
      <w:pPr>
        <w:adjustRightInd w:val="0"/>
        <w:snapToGrid w:val="0"/>
        <w:spacing w:line="312" w:lineRule="auto"/>
        <w:ind w:firstLine="420" w:firstLineChars="200"/>
        <w:rPr>
          <w:rFonts w:hint="eastAsia" w:ascii="仿宋" w:hAnsi="仿宋" w:eastAsia="仿宋"/>
        </w:rPr>
      </w:pPr>
      <w:r>
        <w:rPr>
          <w:rFonts w:ascii="仿宋" w:hAnsi="仿宋" w:eastAsia="仿宋"/>
        </w:rPr>
        <w:t>（六）客户业主或主要股东，或关键管理人员，或技术人员发生变动；</w:t>
      </w:r>
    </w:p>
    <w:p>
      <w:pPr>
        <w:adjustRightInd w:val="0"/>
        <w:snapToGrid w:val="0"/>
        <w:spacing w:line="312" w:lineRule="auto"/>
        <w:ind w:firstLine="420" w:firstLineChars="200"/>
        <w:rPr>
          <w:rFonts w:hint="eastAsia" w:ascii="仿宋" w:hAnsi="仿宋" w:eastAsia="仿宋"/>
        </w:rPr>
      </w:pPr>
      <w:r>
        <w:rPr>
          <w:rFonts w:ascii="仿宋" w:hAnsi="仿宋" w:eastAsia="仿宋"/>
        </w:rPr>
        <w:t>（七）客户发生购并、重组或产权变更；</w:t>
      </w:r>
    </w:p>
    <w:p>
      <w:pPr>
        <w:adjustRightInd w:val="0"/>
        <w:snapToGrid w:val="0"/>
        <w:spacing w:line="312" w:lineRule="auto"/>
        <w:ind w:firstLine="420" w:firstLineChars="200"/>
        <w:rPr>
          <w:rFonts w:hint="eastAsia" w:ascii="仿宋" w:hAnsi="仿宋" w:eastAsia="仿宋"/>
        </w:rPr>
      </w:pPr>
      <w:r>
        <w:rPr>
          <w:rFonts w:ascii="仿宋" w:hAnsi="仿宋" w:eastAsia="仿宋"/>
        </w:rPr>
        <w:t>（八）其他。</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授信审查尽职要求</w:t>
      </w:r>
      <w:bookmarkStart w:id="67" w:name="tiao_19"/>
      <w:bookmarkEnd w:id="67"/>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商业银行应根据不同客户、不同授信品种的风险特征，有针对性地制定授信审查要求。</w:t>
      </w:r>
    </w:p>
    <w:p>
      <w:pPr>
        <w:adjustRightInd w:val="0"/>
        <w:snapToGrid w:val="0"/>
        <w:spacing w:line="312" w:lineRule="auto"/>
        <w:ind w:firstLine="420" w:firstLineChars="200"/>
        <w:rPr>
          <w:rFonts w:hint="eastAsia" w:ascii="仿宋" w:hAnsi="仿宋" w:eastAsia="仿宋"/>
        </w:rPr>
      </w:pPr>
      <w:r>
        <w:rPr>
          <w:rFonts w:ascii="仿宋" w:hAnsi="仿宋" w:eastAsia="仿宋"/>
        </w:rPr>
        <w:t>对信誉良好的小企业客户实行相应的授信激励政策，可逐步提高授信金额、延长授信期限或提供其他授信优惠条件。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授信审查人员应对授信材料的合规性、有效性和完整性进行审查。授信调查、授信审查环节可根据需要由不同人员同时进行。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授信审查人员应根据客户或其业主或主要股东个人的资产、负债、现金流状况等，对影响客户财务状况的各项主要因素进行分析评价。必要时可重新编制客户资产负债表和现金流量表。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授信审查人员应对客户经营状况、资信情况、抵（质）押物或保证情况及其他非财务信息等进行分析评价，审查或验证授信金额、授信期限和授信用途的合理性。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授信审查人员应根据审查与分析结果，出具书面审查意见。经审查同意的授信业务，审查意见应明确授信品种、金额、用途、利率、服务收费、期限、偿还方式、担保条件、授信条件等内容，并提示授信潜在风险。</w:t>
      </w:r>
    </w:p>
    <w:p>
      <w:pPr>
        <w:adjustRightInd w:val="0"/>
        <w:snapToGrid w:val="0"/>
        <w:spacing w:line="312" w:lineRule="auto"/>
        <w:ind w:firstLine="420" w:firstLineChars="200"/>
        <w:rPr>
          <w:rFonts w:hint="eastAsia" w:ascii="仿宋" w:hAnsi="仿宋" w:eastAsia="仿宋"/>
        </w:rPr>
      </w:pPr>
      <w:r>
        <w:rPr>
          <w:rFonts w:ascii="仿宋" w:hAnsi="仿宋" w:eastAsia="仿宋"/>
        </w:rPr>
        <w:t>授信审查人员应对审查意见负责。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商业银行可授权授信审查人员一定的授信权，经授信调查、审查后，授信审查人员和客户经理可在权限内决定是否予以授信，并实行双签制。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发生影响客户履约能力的重大事项时，商业银行应及时重新进行授信审查。</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授信审批尽职要求</w:t>
      </w:r>
      <w:bookmarkStart w:id="68" w:name="tiao_26"/>
      <w:bookmarkEnd w:id="68"/>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商业银行应在风险可控的前提下，建立差别化的小企业授信、授权机制。授信审批应在授权范围内进行，不得超越权限审批授信。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商业银行应制定明确的小企业授信审批程序。授信审批应依据程序进行。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商业银行小企业授信不得用于国家政策、法律法规禁止或限制的行业、项目和产品。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对关系人申请的授信业务，授信审批人员应申请回避。</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授信审批人员应出具审批意见。经审批同意的授信业务，审批意见应明确授信品种、金额、用途、利率、服务收费、期限、偿还方式、担保条件、授信条件等内容。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授信审批人员应对审批意见负责。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商业银行应按授信审批意见实施授信。授信条件发生变更的，商业银行应及时重新审批或变更授信。授信条件未落实或发生变更未重新审批的，商业银行不得实施授信。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商业银行在实施授信业务时应签署相应的法律文件，确保法律文件的合法性、合规性、有效性、可行性。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授信后管理尽职要求</w:t>
      </w:r>
      <w:bookmarkStart w:id="69" w:name="tiao_33"/>
      <w:bookmarkEnd w:id="69"/>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商业银行应制定专门的小企业授信后管理监测制度，结合授信偿还方式，实施有效的授信后管理。发生影响客户履约能力的重大事项时，应及时形成书面报告。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商业银行应严格按照监管部门的监管要求及本行风险管理制度，对已实施授信进行风险分类。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商业银行应动态监测，及时发现授信客户的潜在风险并进行风险预警提示，具体参见《附录》中的“预警信号风险提示”。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商业银行应根据授信后监测结果和风险状况及时采取措施，调整风险分类结果，并视情况决定是否对授信进行调整，包括展期、缩减授信、要求借款人提前还款、终止授信等。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商业银行应设定科学、合理的小企业坏账容忍度；对出现逾期或欠息的授信要及时清收处置，对需用法律手段进行催收的授信，应指定专人管理。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商业银行应建立合理的小企业不良资产核销机制。对核销的损失类授信要做到“账销、案存、权在”。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商业银行应将客户违约信息及时录入本行信贷管理信息系统或在内部进行通报；应定期向银行业监管机构报告；应通过银行同业协会和新闻媒体，对恶意逃废银行债务的小企业予以通报、曝光、联合制裁。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授信工作尽职评价要求</w:t>
      </w:r>
      <w:bookmarkStart w:id="70" w:name="tiao_40"/>
      <w:bookmarkEnd w:id="70"/>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商业银行应建立授信工作尽职评价制度。根据本行小企业授信业务发展状况，配备相应的授信工作尽职评价人员。授信工作尽职评价人员应具备必要的授信专业知识。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商业银行须对授信业务流程的各个环节进行尽职评价，评价授信工作人员是否尽职，确定授信工作人员是否免责。评价可采取现场或非现场的方式进行。</w:t>
      </w:r>
    </w:p>
    <w:p>
      <w:pPr>
        <w:adjustRightInd w:val="0"/>
        <w:snapToGrid w:val="0"/>
        <w:spacing w:line="312" w:lineRule="auto"/>
        <w:ind w:firstLine="420" w:firstLineChars="200"/>
        <w:rPr>
          <w:rFonts w:hint="eastAsia" w:ascii="仿宋" w:hAnsi="仿宋" w:eastAsia="仿宋"/>
        </w:rPr>
      </w:pPr>
      <w:r>
        <w:rPr>
          <w:rFonts w:ascii="仿宋" w:hAnsi="仿宋" w:eastAsia="仿宋"/>
        </w:rPr>
        <w:t>授信工作尽职评价人员在评价中如发现重大违规行为，应立即报告。评价结束后应及时出具授信工作尽职评价报告。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商业银行对授信工作尽职评价人员发现的问题，应经过确认程序，责成相关授信部门或人员及时进行纠正。</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商业银行应根据授信工作尽职评价人员的评价结果，对具有以下情节的授信工作人员依法、依规追究责任。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（一）进行虚假记载、误导性陈述或遗漏重大信息的；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（二）未对客户信息资料进行核实，对异常情况未作进一步调查的；</w:t>
      </w:r>
    </w:p>
    <w:p>
      <w:pPr>
        <w:adjustRightInd w:val="0"/>
        <w:snapToGrid w:val="0"/>
        <w:spacing w:line="312" w:lineRule="auto"/>
        <w:ind w:firstLine="420" w:firstLineChars="200"/>
        <w:rPr>
          <w:rFonts w:hint="eastAsia" w:ascii="仿宋" w:hAnsi="仿宋" w:eastAsia="仿宋"/>
        </w:rPr>
      </w:pPr>
      <w:r>
        <w:rPr>
          <w:rFonts w:ascii="仿宋" w:hAnsi="仿宋" w:eastAsia="仿宋"/>
        </w:rPr>
        <w:t>（三）隐瞒真实情况的，特别是隐瞒与借款人关系，或隐瞒借款人、担保人及其业主的不良信用记录等；</w:t>
      </w:r>
    </w:p>
    <w:p>
      <w:pPr>
        <w:adjustRightInd w:val="0"/>
        <w:snapToGrid w:val="0"/>
        <w:spacing w:line="312" w:lineRule="auto"/>
        <w:ind w:firstLine="420" w:firstLineChars="200"/>
        <w:rPr>
          <w:rFonts w:hint="eastAsia" w:ascii="仿宋" w:hAnsi="仿宋" w:eastAsia="仿宋"/>
        </w:rPr>
      </w:pPr>
      <w:r>
        <w:rPr>
          <w:rFonts w:ascii="仿宋" w:hAnsi="仿宋" w:eastAsia="仿宋"/>
        </w:rPr>
        <w:t>（四）未按照规定对抵（质）押物进行实地核查的；</w:t>
      </w:r>
    </w:p>
    <w:p>
      <w:pPr>
        <w:adjustRightInd w:val="0"/>
        <w:snapToGrid w:val="0"/>
        <w:spacing w:line="312" w:lineRule="auto"/>
        <w:ind w:firstLine="420" w:firstLineChars="200"/>
        <w:rPr>
          <w:rFonts w:hint="eastAsia" w:ascii="仿宋" w:hAnsi="仿宋" w:eastAsia="仿宋"/>
        </w:rPr>
      </w:pPr>
      <w:r>
        <w:rPr>
          <w:rFonts w:ascii="仿宋" w:hAnsi="仿宋" w:eastAsia="仿宋"/>
        </w:rPr>
        <w:t>（五）授信决策过程中超越权限、违反程序的；</w:t>
      </w:r>
    </w:p>
    <w:p>
      <w:pPr>
        <w:adjustRightInd w:val="0"/>
        <w:snapToGrid w:val="0"/>
        <w:spacing w:line="312" w:lineRule="auto"/>
        <w:ind w:firstLine="420" w:firstLineChars="200"/>
        <w:rPr>
          <w:rFonts w:hint="eastAsia" w:ascii="仿宋" w:hAnsi="仿宋" w:eastAsia="仿宋"/>
        </w:rPr>
      </w:pPr>
      <w:r>
        <w:rPr>
          <w:rFonts w:ascii="仿宋" w:hAnsi="仿宋" w:eastAsia="仿宋"/>
        </w:rPr>
        <w:t>（六）未按照规定实施授信后管理，致使授信风险未及时防范、控制的；</w:t>
      </w:r>
    </w:p>
    <w:p>
      <w:pPr>
        <w:adjustRightInd w:val="0"/>
        <w:snapToGrid w:val="0"/>
        <w:spacing w:line="312" w:lineRule="auto"/>
        <w:ind w:firstLine="420" w:firstLineChars="200"/>
        <w:rPr>
          <w:rFonts w:hint="eastAsia" w:ascii="仿宋" w:hAnsi="仿宋" w:eastAsia="仿宋"/>
        </w:rPr>
      </w:pPr>
      <w:r>
        <w:rPr>
          <w:rFonts w:ascii="仿宋" w:hAnsi="仿宋" w:eastAsia="仿宋"/>
        </w:rPr>
        <w:t>（七）发现授信客户发生重大变化和突发事件，未及时报告，未及时进行实地调查，未及时采取必要措施的；</w:t>
      </w:r>
    </w:p>
    <w:p>
      <w:pPr>
        <w:adjustRightInd w:val="0"/>
        <w:snapToGrid w:val="0"/>
        <w:spacing w:line="312" w:lineRule="auto"/>
        <w:ind w:firstLine="420" w:firstLineChars="200"/>
        <w:rPr>
          <w:rFonts w:hint="eastAsia" w:ascii="仿宋" w:hAnsi="仿宋" w:eastAsia="仿宋"/>
        </w:rPr>
      </w:pPr>
      <w:r>
        <w:rPr>
          <w:rFonts w:ascii="仿宋" w:hAnsi="仿宋" w:eastAsia="仿宋"/>
        </w:rPr>
        <w:t>（八）未将客户违约信息及时向银行业监管机构报告的；</w:t>
      </w:r>
    </w:p>
    <w:p>
      <w:pPr>
        <w:adjustRightInd w:val="0"/>
        <w:snapToGrid w:val="0"/>
        <w:spacing w:line="312" w:lineRule="auto"/>
        <w:ind w:firstLine="420" w:firstLineChars="200"/>
        <w:rPr>
          <w:rFonts w:hint="eastAsia" w:ascii="仿宋" w:hAnsi="仿宋" w:eastAsia="仿宋"/>
        </w:rPr>
      </w:pPr>
      <w:r>
        <w:rPr>
          <w:rFonts w:ascii="仿宋" w:hAnsi="仿宋" w:eastAsia="仿宋"/>
        </w:rPr>
        <w:t>（九）不配合授信工作尽职评价人员的工作或提供虚假信息，对授信尽职评价工作中发现的问题逾期不予纠正的；</w:t>
      </w:r>
    </w:p>
    <w:p>
      <w:pPr>
        <w:adjustRightInd w:val="0"/>
        <w:snapToGrid w:val="0"/>
        <w:spacing w:line="312" w:lineRule="auto"/>
        <w:ind w:firstLine="420" w:firstLineChars="200"/>
        <w:rPr>
          <w:rFonts w:hint="eastAsia" w:ascii="仿宋" w:hAnsi="仿宋" w:eastAsia="仿宋"/>
        </w:rPr>
      </w:pPr>
      <w:r>
        <w:rPr>
          <w:rFonts w:ascii="仿宋" w:hAnsi="仿宋" w:eastAsia="仿宋"/>
        </w:rPr>
        <w:t>（十）其他。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商业银行经检查监督和责任认定，有充分证据表明授信部门和授信工作人员按照有关法律、法规、规章和本指引以及商业银行相应的管理制度勤勉尽职地履行了职责，在授信出现风险时，应免除授信部门和相关授信工作人员的合规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附则</w:t>
      </w:r>
      <w:bookmarkStart w:id="71" w:name="tiao_45"/>
      <w:bookmarkEnd w:id="71"/>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在中华人民共和国境内依法设立的商业银行开展的对小企业、个体工商户提供的授信工作适用本指引。其他银行业金融机构可参照执行。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商业银行应根据本指引制定实施细则，并报告中国银行业监督管理委员会或其派出机构。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本指引由中国银行业监督管理委员会负责解释。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本指引自发布之日起实施。</w:t>
      </w:r>
    </w:p>
    <w:p>
      <w:pPr>
        <w:adjustRightInd w:val="0"/>
        <w:snapToGrid w:val="0"/>
        <w:spacing w:line="312" w:lineRule="auto"/>
        <w:ind w:firstLine="420" w:firstLineChars="200"/>
        <w:rPr>
          <w:rFonts w:hint="eastAsia" w:ascii="仿宋" w:hAnsi="仿宋" w:eastAsia="仿宋"/>
          <w:b/>
        </w:rPr>
      </w:pPr>
      <w:r>
        <w:rPr>
          <w:rFonts w:ascii="仿宋" w:hAnsi="仿宋" w:eastAsia="仿宋"/>
        </w:rPr>
        <w:t>附录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一、客户基本信息提示</w:t>
      </w:r>
    </w:p>
    <w:p>
      <w:pPr>
        <w:adjustRightInd w:val="0"/>
        <w:snapToGrid w:val="0"/>
        <w:spacing w:line="312" w:lineRule="auto"/>
        <w:ind w:firstLine="420" w:firstLineChars="200"/>
        <w:rPr>
          <w:rFonts w:hint="eastAsia" w:ascii="仿宋" w:hAnsi="仿宋" w:eastAsia="仿宋"/>
        </w:rPr>
      </w:pPr>
      <w:r>
        <w:rPr>
          <w:rFonts w:ascii="仿宋" w:hAnsi="仿宋" w:eastAsia="仿宋"/>
        </w:rPr>
        <w:t>（一）营业执照、组织机构代码证书（副本及复印件）和年检证明；</w:t>
      </w:r>
    </w:p>
    <w:p>
      <w:pPr>
        <w:adjustRightInd w:val="0"/>
        <w:snapToGrid w:val="0"/>
        <w:spacing w:line="312" w:lineRule="auto"/>
        <w:ind w:firstLine="420" w:firstLineChars="200"/>
        <w:rPr>
          <w:rFonts w:hint="eastAsia" w:ascii="仿宋" w:hAnsi="仿宋" w:eastAsia="仿宋"/>
        </w:rPr>
      </w:pPr>
      <w:r>
        <w:rPr>
          <w:rFonts w:ascii="仿宋" w:hAnsi="仿宋" w:eastAsia="仿宋"/>
        </w:rPr>
        <w:t>（二）贷款卡、银行开户情况；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（三）客户业主或主要股东个人身份证明及必要的信息；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（四）能用于编制近两年或当期资产负债表、损益表、现金流量表的基本信息或已编制好的财务报表；</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（五）客户业主或主要股东报告期存借款及对外担保情况；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（六）税务部门年检合格的税务登记证明和近一年税务部门纳税证明复印件；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（七）合同或章程（原件及复印件）；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（八）董事会成员和主要经营管理负责人、财务负责人、技术负责人名单和签字样本等；</w:t>
      </w:r>
    </w:p>
    <w:p>
      <w:pPr>
        <w:adjustRightInd w:val="0"/>
        <w:snapToGrid w:val="0"/>
        <w:spacing w:line="312" w:lineRule="auto"/>
        <w:ind w:firstLine="420" w:firstLineChars="200"/>
        <w:rPr>
          <w:rFonts w:hint="eastAsia" w:ascii="仿宋" w:hAnsi="仿宋" w:eastAsia="仿宋"/>
        </w:rPr>
      </w:pPr>
      <w:r>
        <w:rPr>
          <w:rFonts w:ascii="仿宋" w:hAnsi="仿宋" w:eastAsia="仿宋"/>
        </w:rPr>
        <w:t>（九）若为有限责任客户、合资合伙客户或承包、租赁客户，要求提供董事会或发包人同意申请授信业务的决议、文件或具有同等法律效力的文件或证明；</w:t>
      </w:r>
    </w:p>
    <w:p>
      <w:pPr>
        <w:adjustRightInd w:val="0"/>
        <w:snapToGrid w:val="0"/>
        <w:spacing w:line="312" w:lineRule="auto"/>
        <w:ind w:firstLine="420" w:firstLineChars="200"/>
        <w:rPr>
          <w:rFonts w:hint="eastAsia" w:ascii="仿宋" w:hAnsi="仿宋" w:eastAsia="仿宋"/>
        </w:rPr>
      </w:pPr>
      <w:r>
        <w:rPr>
          <w:rFonts w:ascii="仿宋" w:hAnsi="仿宋" w:eastAsia="仿宋"/>
        </w:rPr>
        <w:t>（十）授信业务由授权委托人办理的，需提供客户法定代表人授权委托书（原件）；</w:t>
      </w:r>
    </w:p>
    <w:p>
      <w:pPr>
        <w:adjustRightInd w:val="0"/>
        <w:snapToGrid w:val="0"/>
        <w:spacing w:line="312" w:lineRule="auto"/>
        <w:ind w:firstLine="420" w:firstLineChars="200"/>
        <w:rPr>
          <w:rFonts w:hint="eastAsia" w:ascii="仿宋" w:hAnsi="仿宋" w:eastAsia="仿宋"/>
        </w:rPr>
      </w:pPr>
      <w:r>
        <w:rPr>
          <w:rFonts w:ascii="仿宋" w:hAnsi="仿宋" w:eastAsia="仿宋"/>
        </w:rPr>
        <w:t>（十一）其他必要的资料（如海关等部门出具的相关文件等）。</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对于中长期授信，还须有各类合格、有效的相关批准文件，预计资金来源及使用情况、预计的资产负债情况、损益情况、项目建设进度及营运计划。</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二、非财务信息提示</w:t>
      </w:r>
    </w:p>
    <w:p>
      <w:pPr>
        <w:adjustRightInd w:val="0"/>
        <w:snapToGrid w:val="0"/>
        <w:spacing w:line="312" w:lineRule="auto"/>
        <w:ind w:firstLine="420" w:firstLineChars="200"/>
        <w:rPr>
          <w:rFonts w:hint="eastAsia" w:ascii="仿宋" w:hAnsi="仿宋" w:eastAsia="仿宋"/>
        </w:rPr>
      </w:pPr>
      <w:r>
        <w:rPr>
          <w:rFonts w:ascii="仿宋" w:hAnsi="仿宋" w:eastAsia="仿宋"/>
        </w:rPr>
        <w:t>（一）客户关键人员如经营决策人员、主要执行人员和技术人员人员的个人职业经历、受教育背景、品行、健康状况等；</w:t>
      </w:r>
    </w:p>
    <w:p>
      <w:pPr>
        <w:adjustRightInd w:val="0"/>
        <w:snapToGrid w:val="0"/>
        <w:spacing w:line="312" w:lineRule="auto"/>
        <w:ind w:firstLine="420" w:firstLineChars="200"/>
        <w:rPr>
          <w:rFonts w:hint="eastAsia" w:ascii="仿宋" w:hAnsi="仿宋" w:eastAsia="仿宋"/>
        </w:rPr>
      </w:pPr>
      <w:r>
        <w:rPr>
          <w:rFonts w:ascii="仿宋" w:hAnsi="仿宋" w:eastAsia="仿宋"/>
        </w:rPr>
        <w:t>（二）客户业主或主要股东个人及其家庭其他投资、资产负债及或有负债情况；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（三）客户业主或主要股东家庭成员情况、家庭居住情况，婚姻状况，家庭大致日常收入、生活开支情况；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（四）客户业主或主要股东个人资信情况，信贷登记咨询系统和个人征信系统信息；客户在工商、税务、海关等部门的信用记录情况；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（五）客户近一年的水电费或其他公用事业收费清单；</w:t>
      </w:r>
    </w:p>
    <w:p>
      <w:pPr>
        <w:adjustRightInd w:val="0"/>
        <w:snapToGrid w:val="0"/>
        <w:spacing w:line="312" w:lineRule="auto"/>
        <w:ind w:firstLine="420" w:firstLineChars="200"/>
        <w:rPr>
          <w:rFonts w:hint="eastAsia" w:ascii="仿宋" w:hAnsi="仿宋" w:eastAsia="仿宋"/>
        </w:rPr>
      </w:pPr>
      <w:r>
        <w:rPr>
          <w:rFonts w:ascii="仿宋" w:hAnsi="仿宋" w:eastAsia="仿宋"/>
        </w:rPr>
        <w:t>（六）客户近一年的设备运转和开工率；主要生产设备的技术水平；</w:t>
      </w:r>
    </w:p>
    <w:p>
      <w:pPr>
        <w:adjustRightInd w:val="0"/>
        <w:snapToGrid w:val="0"/>
        <w:spacing w:line="312" w:lineRule="auto"/>
        <w:ind w:firstLine="420" w:firstLineChars="200"/>
        <w:rPr>
          <w:rFonts w:hint="eastAsia" w:ascii="仿宋" w:hAnsi="仿宋" w:eastAsia="仿宋"/>
        </w:rPr>
      </w:pPr>
      <w:r>
        <w:rPr>
          <w:rFonts w:ascii="仿宋" w:hAnsi="仿宋" w:eastAsia="仿宋"/>
        </w:rPr>
        <w:t>（七）客户成品仓库的入库、出库情况；</w:t>
      </w:r>
    </w:p>
    <w:p>
      <w:pPr>
        <w:adjustRightInd w:val="0"/>
        <w:snapToGrid w:val="0"/>
        <w:spacing w:line="312" w:lineRule="auto"/>
        <w:ind w:firstLine="420" w:firstLineChars="200"/>
        <w:rPr>
          <w:rFonts w:hint="eastAsia" w:ascii="仿宋" w:hAnsi="仿宋" w:eastAsia="仿宋"/>
        </w:rPr>
      </w:pPr>
      <w:r>
        <w:rPr>
          <w:rFonts w:ascii="仿宋" w:hAnsi="仿宋" w:eastAsia="仿宋"/>
        </w:rPr>
        <w:t>（八）客户的纳税清单；</w:t>
      </w:r>
    </w:p>
    <w:p>
      <w:pPr>
        <w:adjustRightInd w:val="0"/>
        <w:snapToGrid w:val="0"/>
        <w:spacing w:line="312" w:lineRule="auto"/>
        <w:ind w:firstLine="420" w:firstLineChars="200"/>
        <w:rPr>
          <w:rFonts w:hint="eastAsia" w:ascii="仿宋" w:hAnsi="仿宋" w:eastAsia="仿宋"/>
        </w:rPr>
      </w:pPr>
      <w:r>
        <w:rPr>
          <w:rFonts w:ascii="仿宋" w:hAnsi="仿宋" w:eastAsia="仿宋"/>
        </w:rPr>
        <w:t>（九）客户的资产、职工人数、收入情况；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（十）客户近一年的现金流情况；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（十一）客户主要供应商和销售商情况；</w:t>
      </w:r>
    </w:p>
    <w:p>
      <w:pPr>
        <w:adjustRightInd w:val="0"/>
        <w:snapToGrid w:val="0"/>
        <w:spacing w:line="312" w:lineRule="auto"/>
        <w:ind w:firstLine="420" w:firstLineChars="200"/>
        <w:rPr>
          <w:rFonts w:hint="eastAsia" w:ascii="仿宋" w:hAnsi="仿宋" w:eastAsia="仿宋"/>
          <w:b/>
        </w:rPr>
      </w:pPr>
      <w:r>
        <w:rPr>
          <w:rFonts w:ascii="仿宋" w:hAnsi="仿宋" w:eastAsia="仿宋"/>
        </w:rPr>
        <w:t>（十二）其他情况。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三、预警信号风险提示</w:t>
      </w:r>
    </w:p>
    <w:p>
      <w:pPr>
        <w:adjustRightInd w:val="0"/>
        <w:snapToGrid w:val="0"/>
        <w:spacing w:line="312" w:lineRule="auto"/>
        <w:ind w:firstLine="420" w:firstLineChars="200"/>
        <w:rPr>
          <w:rFonts w:hint="eastAsia" w:ascii="仿宋" w:hAnsi="仿宋" w:eastAsia="仿宋"/>
        </w:rPr>
      </w:pPr>
      <w:r>
        <w:rPr>
          <w:rFonts w:ascii="仿宋" w:hAnsi="仿宋" w:eastAsia="仿宋"/>
        </w:rPr>
        <w:t>（一）与客户品质有关的信号</w:t>
      </w:r>
    </w:p>
    <w:p>
      <w:pPr>
        <w:adjustRightInd w:val="0"/>
        <w:snapToGrid w:val="0"/>
        <w:spacing w:line="312" w:lineRule="auto"/>
        <w:ind w:firstLine="420" w:firstLineChars="200"/>
        <w:rPr>
          <w:rFonts w:hint="eastAsia" w:ascii="仿宋" w:hAnsi="仿宋" w:eastAsia="仿宋"/>
        </w:rPr>
      </w:pPr>
      <w:r>
        <w:rPr>
          <w:rFonts w:ascii="仿宋" w:hAnsi="仿宋" w:eastAsia="仿宋"/>
        </w:rPr>
        <w:t>1.客户关键人员如经营决策人员、主要执行人员和技术人员失踪或无法联系；</w:t>
      </w:r>
    </w:p>
    <w:p>
      <w:pPr>
        <w:adjustRightInd w:val="0"/>
        <w:snapToGrid w:val="0"/>
        <w:spacing w:line="312" w:lineRule="auto"/>
        <w:ind w:firstLine="420" w:firstLineChars="200"/>
        <w:rPr>
          <w:rFonts w:hint="eastAsia" w:ascii="仿宋" w:hAnsi="仿宋" w:eastAsia="仿宋"/>
        </w:rPr>
      </w:pPr>
      <w:r>
        <w:rPr>
          <w:rFonts w:ascii="仿宋" w:hAnsi="仿宋" w:eastAsia="仿宋"/>
        </w:rPr>
        <w:t>2.客户拒绝提供与信用审核有关的文件；</w:t>
      </w:r>
    </w:p>
    <w:p>
      <w:pPr>
        <w:adjustRightInd w:val="0"/>
        <w:snapToGrid w:val="0"/>
        <w:spacing w:line="312" w:lineRule="auto"/>
        <w:ind w:firstLine="420" w:firstLineChars="200"/>
        <w:rPr>
          <w:rFonts w:hint="eastAsia" w:ascii="仿宋" w:hAnsi="仿宋" w:eastAsia="仿宋"/>
        </w:rPr>
      </w:pPr>
      <w:r>
        <w:rPr>
          <w:rFonts w:ascii="仿宋" w:hAnsi="仿宋" w:eastAsia="仿宋"/>
        </w:rPr>
        <w:t>3.客户隐瞒重要信息或提供虚假信息，如隐瞒资产、债务或抵（质）押品真实情况；</w:t>
      </w:r>
    </w:p>
    <w:p>
      <w:pPr>
        <w:adjustRightInd w:val="0"/>
        <w:snapToGrid w:val="0"/>
        <w:spacing w:line="312" w:lineRule="auto"/>
        <w:ind w:firstLine="420" w:firstLineChars="200"/>
        <w:rPr>
          <w:rFonts w:hint="eastAsia" w:ascii="仿宋" w:hAnsi="仿宋" w:eastAsia="仿宋"/>
        </w:rPr>
      </w:pPr>
      <w:r>
        <w:rPr>
          <w:rFonts w:ascii="仿宋" w:hAnsi="仿宋" w:eastAsia="仿宋"/>
        </w:rPr>
        <w:t>4.客户无恰当理由突然改变会计政策或核算方法以及折旧计提方式、存货计价方式等；</w:t>
      </w:r>
    </w:p>
    <w:p>
      <w:pPr>
        <w:adjustRightInd w:val="0"/>
        <w:snapToGrid w:val="0"/>
        <w:spacing w:line="312" w:lineRule="auto"/>
        <w:ind w:firstLine="420" w:firstLineChars="200"/>
        <w:rPr>
          <w:rFonts w:hint="eastAsia" w:ascii="仿宋" w:hAnsi="仿宋" w:eastAsia="仿宋"/>
        </w:rPr>
      </w:pPr>
      <w:r>
        <w:rPr>
          <w:rFonts w:ascii="仿宋" w:hAnsi="仿宋" w:eastAsia="仿宋"/>
        </w:rPr>
        <w:t>5.客户无正当理由撤回或延迟提供与财务、业务、税收或抵押担保有关的信息或要求提供的其他文件；</w:t>
      </w:r>
    </w:p>
    <w:p>
      <w:pPr>
        <w:adjustRightInd w:val="0"/>
        <w:snapToGrid w:val="0"/>
        <w:spacing w:line="312" w:lineRule="auto"/>
        <w:ind w:firstLine="420" w:firstLineChars="200"/>
        <w:rPr>
          <w:rFonts w:hint="eastAsia" w:ascii="仿宋" w:hAnsi="仿宋" w:eastAsia="仿宋"/>
        </w:rPr>
      </w:pPr>
      <w:r>
        <w:rPr>
          <w:rFonts w:ascii="仿宋" w:hAnsi="仿宋" w:eastAsia="仿宋"/>
        </w:rPr>
        <w:t>6.客户的竞争者、供应商或其他客户对授信客户的负面评价，以及媒体的负面报道；</w:t>
      </w:r>
    </w:p>
    <w:p>
      <w:pPr>
        <w:adjustRightInd w:val="0"/>
        <w:snapToGrid w:val="0"/>
        <w:spacing w:line="312" w:lineRule="auto"/>
        <w:ind w:firstLine="420" w:firstLineChars="200"/>
        <w:rPr>
          <w:rFonts w:hint="eastAsia" w:ascii="仿宋" w:hAnsi="仿宋" w:eastAsia="仿宋"/>
        </w:rPr>
      </w:pPr>
      <w:r>
        <w:rPr>
          <w:rFonts w:ascii="仿宋" w:hAnsi="仿宋" w:eastAsia="仿宋"/>
        </w:rPr>
        <w:t>7.客户改变主要授信银行，向许多银行借款或不断在这些银行之间借新还旧；</w:t>
      </w:r>
    </w:p>
    <w:p>
      <w:pPr>
        <w:adjustRightInd w:val="0"/>
        <w:snapToGrid w:val="0"/>
        <w:spacing w:line="312" w:lineRule="auto"/>
        <w:ind w:firstLine="420" w:firstLineChars="200"/>
        <w:rPr>
          <w:rFonts w:hint="eastAsia" w:ascii="仿宋" w:hAnsi="仿宋" w:eastAsia="仿宋"/>
        </w:rPr>
      </w:pPr>
      <w:r>
        <w:rPr>
          <w:rFonts w:ascii="仿宋" w:hAnsi="仿宋" w:eastAsia="仿宋"/>
        </w:rPr>
        <w:t>8.客户频繁更换会计人员或主要管理人员；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9.客户卷入法律纠纷；</w:t>
      </w:r>
    </w:p>
    <w:p>
      <w:pPr>
        <w:adjustRightInd w:val="0"/>
        <w:snapToGrid w:val="0"/>
        <w:spacing w:line="312" w:lineRule="auto"/>
        <w:ind w:firstLine="420" w:firstLineChars="200"/>
        <w:rPr>
          <w:rFonts w:hint="eastAsia" w:ascii="仿宋" w:hAnsi="仿宋" w:eastAsia="仿宋"/>
        </w:rPr>
      </w:pPr>
      <w:r>
        <w:rPr>
          <w:rFonts w:ascii="仿宋" w:hAnsi="仿宋" w:eastAsia="仿宋"/>
        </w:rPr>
        <w:t>10.客户有破产和解或破产重整经历。</w:t>
      </w:r>
    </w:p>
    <w:p>
      <w:pPr>
        <w:adjustRightInd w:val="0"/>
        <w:snapToGrid w:val="0"/>
        <w:spacing w:line="312" w:lineRule="auto"/>
        <w:ind w:firstLine="420" w:firstLineChars="200"/>
        <w:rPr>
          <w:rFonts w:hint="eastAsia" w:ascii="仿宋" w:hAnsi="仿宋" w:eastAsia="仿宋"/>
        </w:rPr>
      </w:pPr>
      <w:r>
        <w:rPr>
          <w:rFonts w:ascii="仿宋" w:hAnsi="仿宋" w:eastAsia="仿宋"/>
        </w:rPr>
        <w:t>（二）小企业业主及主要股东个人的风险预警信息</w:t>
      </w:r>
    </w:p>
    <w:p>
      <w:pPr>
        <w:adjustRightInd w:val="0"/>
        <w:snapToGrid w:val="0"/>
        <w:spacing w:line="312" w:lineRule="auto"/>
        <w:ind w:firstLine="420" w:firstLineChars="200"/>
        <w:rPr>
          <w:rFonts w:hint="eastAsia" w:ascii="仿宋" w:hAnsi="仿宋" w:eastAsia="仿宋"/>
        </w:rPr>
      </w:pPr>
      <w:r>
        <w:rPr>
          <w:rFonts w:ascii="仿宋" w:hAnsi="仿宋" w:eastAsia="仿宋"/>
        </w:rPr>
        <w:t>1.有赌博、涉毒、嫖娼等违法或违反社会公德的行为；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2.持有外国护照或拥有外国永久居住权，或在国外开设分支机构；</w:t>
      </w:r>
    </w:p>
    <w:p>
      <w:pPr>
        <w:adjustRightInd w:val="0"/>
        <w:snapToGrid w:val="0"/>
        <w:spacing w:line="312" w:lineRule="auto"/>
        <w:ind w:firstLine="420" w:firstLineChars="200"/>
        <w:rPr>
          <w:rFonts w:hint="eastAsia" w:ascii="仿宋" w:hAnsi="仿宋" w:eastAsia="仿宋"/>
        </w:rPr>
      </w:pPr>
      <w:r>
        <w:rPr>
          <w:rFonts w:ascii="仿宋" w:hAnsi="仿宋" w:eastAsia="仿宋"/>
        </w:rPr>
        <w:t>3.被公众媒体披露的其他不端行为；</w:t>
      </w:r>
    </w:p>
    <w:p>
      <w:pPr>
        <w:adjustRightInd w:val="0"/>
        <w:snapToGrid w:val="0"/>
        <w:spacing w:line="312" w:lineRule="auto"/>
        <w:ind w:firstLine="420" w:firstLineChars="200"/>
        <w:rPr>
          <w:rFonts w:hint="eastAsia" w:ascii="仿宋" w:hAnsi="仿宋" w:eastAsia="仿宋"/>
        </w:rPr>
      </w:pPr>
      <w:r>
        <w:rPr>
          <w:rFonts w:ascii="仿宋" w:hAnsi="仿宋" w:eastAsia="仿宋"/>
        </w:rPr>
        <w:t>4.社会公众对客户法定代表人或经营者个人品质、行为反映不良；</w:t>
      </w:r>
    </w:p>
    <w:p>
      <w:pPr>
        <w:adjustRightInd w:val="0"/>
        <w:snapToGrid w:val="0"/>
        <w:spacing w:line="312" w:lineRule="auto"/>
        <w:ind w:firstLine="420" w:firstLineChars="200"/>
        <w:rPr>
          <w:rFonts w:hint="eastAsia" w:ascii="仿宋" w:hAnsi="仿宋" w:eastAsia="仿宋"/>
        </w:rPr>
      </w:pPr>
      <w:r>
        <w:rPr>
          <w:rFonts w:ascii="仿宋" w:hAnsi="仿宋" w:eastAsia="仿宋"/>
        </w:rPr>
        <w:t>5.客户法定代表人或经营者个人纳税额大幅度下降。</w:t>
      </w:r>
    </w:p>
    <w:p>
      <w:pPr>
        <w:adjustRightInd w:val="0"/>
        <w:snapToGrid w:val="0"/>
        <w:spacing w:line="312" w:lineRule="auto"/>
        <w:ind w:firstLine="420" w:firstLineChars="200"/>
        <w:rPr>
          <w:rFonts w:hint="eastAsia" w:ascii="仿宋" w:hAnsi="仿宋" w:eastAsia="仿宋"/>
        </w:rPr>
      </w:pPr>
      <w:r>
        <w:rPr>
          <w:rFonts w:ascii="仿宋" w:hAnsi="仿宋" w:eastAsia="仿宋"/>
        </w:rPr>
        <w:t>（三）客户在银行账户变化的信号</w:t>
      </w:r>
    </w:p>
    <w:p>
      <w:pPr>
        <w:adjustRightInd w:val="0"/>
        <w:snapToGrid w:val="0"/>
        <w:spacing w:line="312" w:lineRule="auto"/>
        <w:ind w:firstLine="420" w:firstLineChars="200"/>
        <w:rPr>
          <w:rFonts w:hint="eastAsia" w:ascii="仿宋" w:hAnsi="仿宋" w:eastAsia="仿宋"/>
        </w:rPr>
      </w:pPr>
      <w:r>
        <w:rPr>
          <w:rFonts w:ascii="仿宋" w:hAnsi="仿宋" w:eastAsia="仿宋"/>
        </w:rPr>
        <w:t>1.客户在银行的存款不断减少或出现异常变化；</w:t>
      </w:r>
    </w:p>
    <w:p>
      <w:pPr>
        <w:adjustRightInd w:val="0"/>
        <w:snapToGrid w:val="0"/>
        <w:spacing w:line="312" w:lineRule="auto"/>
        <w:ind w:firstLine="420" w:firstLineChars="200"/>
        <w:rPr>
          <w:rFonts w:hint="eastAsia" w:ascii="仿宋" w:hAnsi="仿宋" w:eastAsia="仿宋"/>
        </w:rPr>
      </w:pPr>
      <w:r>
        <w:rPr>
          <w:rFonts w:ascii="仿宋" w:hAnsi="仿宋" w:eastAsia="仿宋"/>
        </w:rPr>
        <w:t>2.对授信的长期占用；</w:t>
      </w:r>
    </w:p>
    <w:p>
      <w:pPr>
        <w:adjustRightInd w:val="0"/>
        <w:snapToGrid w:val="0"/>
        <w:spacing w:line="312" w:lineRule="auto"/>
        <w:ind w:firstLine="420" w:firstLineChars="200"/>
        <w:rPr>
          <w:rFonts w:hint="eastAsia" w:ascii="仿宋" w:hAnsi="仿宋" w:eastAsia="仿宋"/>
        </w:rPr>
      </w:pPr>
      <w:r>
        <w:rPr>
          <w:rFonts w:ascii="仿宋" w:hAnsi="仿宋" w:eastAsia="仿宋"/>
        </w:rPr>
        <w:t>3.缺乏财务计划，如总是突然向银行提出借款需求；</w:t>
      </w:r>
    </w:p>
    <w:p>
      <w:pPr>
        <w:adjustRightInd w:val="0"/>
        <w:snapToGrid w:val="0"/>
        <w:spacing w:line="312" w:lineRule="auto"/>
        <w:ind w:firstLine="420" w:firstLineChars="200"/>
        <w:rPr>
          <w:rFonts w:hint="eastAsia" w:ascii="仿宋" w:hAnsi="仿宋" w:eastAsia="仿宋"/>
        </w:rPr>
      </w:pPr>
      <w:r>
        <w:rPr>
          <w:rFonts w:ascii="仿宋" w:hAnsi="仿宋" w:eastAsia="仿宋"/>
        </w:rPr>
        <w:t>4.短期授信和长期授信错配；</w:t>
      </w:r>
    </w:p>
    <w:p>
      <w:pPr>
        <w:adjustRightInd w:val="0"/>
        <w:snapToGrid w:val="0"/>
        <w:spacing w:line="312" w:lineRule="auto"/>
        <w:ind w:firstLine="420" w:firstLineChars="200"/>
        <w:rPr>
          <w:rFonts w:hint="eastAsia" w:ascii="仿宋" w:hAnsi="仿宋" w:eastAsia="仿宋"/>
        </w:rPr>
      </w:pPr>
      <w:r>
        <w:rPr>
          <w:rFonts w:ascii="仿宋" w:hAnsi="仿宋" w:eastAsia="仿宋"/>
        </w:rPr>
        <w:t>5.经常接到供货商查询核实存款情况的电话；</w:t>
      </w:r>
    </w:p>
    <w:p>
      <w:pPr>
        <w:adjustRightInd w:val="0"/>
        <w:snapToGrid w:val="0"/>
        <w:spacing w:line="312" w:lineRule="auto"/>
        <w:ind w:firstLine="420" w:firstLineChars="200"/>
        <w:rPr>
          <w:rFonts w:hint="eastAsia" w:ascii="仿宋" w:hAnsi="仿宋" w:eastAsia="仿宋"/>
        </w:rPr>
      </w:pPr>
      <w:r>
        <w:rPr>
          <w:rFonts w:ascii="仿宋" w:hAnsi="仿宋" w:eastAsia="仿宋"/>
        </w:rPr>
        <w:t>6.突然出现大额资金向新交易商转移。</w:t>
      </w:r>
    </w:p>
    <w:p>
      <w:pPr>
        <w:adjustRightInd w:val="0"/>
        <w:snapToGrid w:val="0"/>
        <w:spacing w:line="312" w:lineRule="auto"/>
        <w:ind w:firstLine="420" w:firstLineChars="200"/>
        <w:rPr>
          <w:rFonts w:hint="eastAsia" w:ascii="仿宋" w:hAnsi="仿宋" w:eastAsia="仿宋"/>
        </w:rPr>
      </w:pPr>
      <w:r>
        <w:rPr>
          <w:rFonts w:ascii="仿宋" w:hAnsi="仿宋" w:eastAsia="仿宋"/>
        </w:rPr>
        <w:t>（四）客户管理层或关键技术人员变化的信号</w:t>
      </w:r>
    </w:p>
    <w:p>
      <w:pPr>
        <w:adjustRightInd w:val="0"/>
        <w:snapToGrid w:val="0"/>
        <w:spacing w:line="312" w:lineRule="auto"/>
        <w:ind w:firstLine="420" w:firstLineChars="200"/>
        <w:rPr>
          <w:rFonts w:hint="eastAsia" w:ascii="仿宋" w:hAnsi="仿宋" w:eastAsia="仿宋"/>
        </w:rPr>
      </w:pPr>
      <w:r>
        <w:rPr>
          <w:rFonts w:ascii="仿宋" w:hAnsi="仿宋" w:eastAsia="仿宋"/>
        </w:rPr>
        <w:t>1.关键管理人员或技术人员行为异常；</w:t>
      </w:r>
    </w:p>
    <w:p>
      <w:pPr>
        <w:adjustRightInd w:val="0"/>
        <w:snapToGrid w:val="0"/>
        <w:spacing w:line="312" w:lineRule="auto"/>
        <w:ind w:firstLine="420" w:firstLineChars="200"/>
        <w:rPr>
          <w:rFonts w:hint="eastAsia" w:ascii="仿宋" w:hAnsi="仿宋" w:eastAsia="仿宋"/>
        </w:rPr>
      </w:pPr>
      <w:r>
        <w:rPr>
          <w:rFonts w:ascii="仿宋" w:hAnsi="仿宋" w:eastAsia="仿宋"/>
        </w:rPr>
        <w:t>2.财务计划和报告质量下降；</w:t>
      </w:r>
    </w:p>
    <w:p>
      <w:pPr>
        <w:adjustRightInd w:val="0"/>
        <w:snapToGrid w:val="0"/>
        <w:spacing w:line="312" w:lineRule="auto"/>
        <w:ind w:firstLine="420" w:firstLineChars="200"/>
        <w:rPr>
          <w:rFonts w:hint="eastAsia" w:ascii="仿宋" w:hAnsi="仿宋" w:eastAsia="仿宋"/>
        </w:rPr>
      </w:pPr>
      <w:r>
        <w:rPr>
          <w:rFonts w:ascii="仿宋" w:hAnsi="仿宋" w:eastAsia="仿宋"/>
        </w:rPr>
        <w:t>3.主要业务频繁变化；</w:t>
      </w:r>
    </w:p>
    <w:p>
      <w:pPr>
        <w:adjustRightInd w:val="0"/>
        <w:snapToGrid w:val="0"/>
        <w:spacing w:line="312" w:lineRule="auto"/>
        <w:ind w:firstLine="420" w:firstLineChars="200"/>
        <w:rPr>
          <w:rFonts w:hint="eastAsia" w:ascii="仿宋" w:hAnsi="仿宋" w:eastAsia="仿宋"/>
        </w:rPr>
      </w:pPr>
      <w:r>
        <w:rPr>
          <w:rFonts w:ascii="仿宋" w:hAnsi="仿宋" w:eastAsia="仿宋"/>
        </w:rPr>
        <w:t>4.对竞争变化或其他外部条件变化缺少对策；</w:t>
      </w:r>
    </w:p>
    <w:p>
      <w:pPr>
        <w:adjustRightInd w:val="0"/>
        <w:snapToGrid w:val="0"/>
        <w:spacing w:line="312" w:lineRule="auto"/>
        <w:ind w:firstLine="420" w:firstLineChars="200"/>
        <w:rPr>
          <w:rFonts w:hint="eastAsia" w:ascii="仿宋" w:hAnsi="仿宋" w:eastAsia="仿宋"/>
        </w:rPr>
      </w:pPr>
      <w:r>
        <w:rPr>
          <w:rFonts w:ascii="仿宋" w:hAnsi="仿宋" w:eastAsia="仿宋"/>
        </w:rPr>
        <w:t>5.核心盈利业务削弱和偏离；</w:t>
      </w:r>
    </w:p>
    <w:p>
      <w:pPr>
        <w:adjustRightInd w:val="0"/>
        <w:snapToGrid w:val="0"/>
        <w:spacing w:line="312" w:lineRule="auto"/>
        <w:ind w:firstLine="420" w:firstLineChars="200"/>
        <w:rPr>
          <w:rFonts w:hint="eastAsia" w:ascii="仿宋" w:hAnsi="仿宋" w:eastAsia="仿宋"/>
        </w:rPr>
      </w:pPr>
      <w:r>
        <w:rPr>
          <w:rFonts w:ascii="仿宋" w:hAnsi="仿宋" w:eastAsia="仿宋"/>
        </w:rPr>
        <w:t>6.以往的合作伙伴不再与其合作；</w:t>
      </w:r>
    </w:p>
    <w:p>
      <w:pPr>
        <w:adjustRightInd w:val="0"/>
        <w:snapToGrid w:val="0"/>
        <w:spacing w:line="312" w:lineRule="auto"/>
        <w:ind w:firstLine="420" w:firstLineChars="200"/>
        <w:rPr>
          <w:rFonts w:hint="eastAsia" w:ascii="仿宋" w:hAnsi="仿宋" w:eastAsia="仿宋"/>
        </w:rPr>
      </w:pPr>
      <w:r>
        <w:rPr>
          <w:rFonts w:ascii="仿宋" w:hAnsi="仿宋" w:eastAsia="仿宋"/>
        </w:rPr>
        <w:t>7.不遵守授信承诺；</w:t>
      </w:r>
    </w:p>
    <w:p>
      <w:pPr>
        <w:adjustRightInd w:val="0"/>
        <w:snapToGrid w:val="0"/>
        <w:spacing w:line="312" w:lineRule="auto"/>
        <w:ind w:firstLine="420" w:firstLineChars="200"/>
        <w:rPr>
          <w:rFonts w:hint="eastAsia" w:ascii="仿宋" w:hAnsi="仿宋" w:eastAsia="仿宋"/>
        </w:rPr>
      </w:pPr>
      <w:r>
        <w:rPr>
          <w:rFonts w:ascii="仿宋" w:hAnsi="仿宋" w:eastAsia="仿宋"/>
        </w:rPr>
        <w:t>8.管理层能力不足或构成缺乏代表性；</w:t>
      </w:r>
    </w:p>
    <w:p>
      <w:pPr>
        <w:adjustRightInd w:val="0"/>
        <w:snapToGrid w:val="0"/>
        <w:spacing w:line="312" w:lineRule="auto"/>
        <w:ind w:firstLine="420" w:firstLineChars="200"/>
        <w:rPr>
          <w:rFonts w:hint="eastAsia" w:ascii="仿宋" w:hAnsi="仿宋" w:eastAsia="仿宋"/>
        </w:rPr>
      </w:pPr>
      <w:r>
        <w:rPr>
          <w:rFonts w:ascii="仿宋" w:hAnsi="仿宋" w:eastAsia="仿宋"/>
        </w:rPr>
        <w:t>9.缺乏技术工人、工资不能正常发放或有劳资争议。</w:t>
      </w:r>
    </w:p>
    <w:p>
      <w:pPr>
        <w:adjustRightInd w:val="0"/>
        <w:snapToGrid w:val="0"/>
        <w:spacing w:line="312" w:lineRule="auto"/>
        <w:ind w:firstLine="420" w:firstLineChars="200"/>
        <w:rPr>
          <w:rFonts w:hint="eastAsia" w:ascii="仿宋" w:hAnsi="仿宋" w:eastAsia="仿宋"/>
        </w:rPr>
      </w:pPr>
      <w:r>
        <w:rPr>
          <w:rFonts w:ascii="仿宋" w:hAnsi="仿宋" w:eastAsia="仿宋"/>
        </w:rPr>
        <w:t>（五）业务运营环境变化的信号</w:t>
      </w:r>
    </w:p>
    <w:p>
      <w:pPr>
        <w:adjustRightInd w:val="0"/>
        <w:snapToGrid w:val="0"/>
        <w:spacing w:line="312" w:lineRule="auto"/>
        <w:ind w:firstLine="420" w:firstLineChars="200"/>
        <w:rPr>
          <w:rFonts w:hint="eastAsia" w:ascii="仿宋" w:hAnsi="仿宋" w:eastAsia="仿宋"/>
        </w:rPr>
      </w:pPr>
      <w:r>
        <w:rPr>
          <w:rFonts w:ascii="仿宋" w:hAnsi="仿宋" w:eastAsia="仿宋"/>
        </w:rPr>
        <w:t>1.存货异常变化；</w:t>
      </w:r>
    </w:p>
    <w:p>
      <w:pPr>
        <w:adjustRightInd w:val="0"/>
        <w:snapToGrid w:val="0"/>
        <w:spacing w:line="312" w:lineRule="auto"/>
        <w:ind w:firstLine="420" w:firstLineChars="200"/>
        <w:rPr>
          <w:rFonts w:hint="eastAsia" w:ascii="仿宋" w:hAnsi="仿宋" w:eastAsia="仿宋"/>
        </w:rPr>
      </w:pPr>
      <w:r>
        <w:rPr>
          <w:rFonts w:ascii="仿宋" w:hAnsi="仿宋" w:eastAsia="仿宋"/>
        </w:rPr>
        <w:t>2.工厂维护或设备管理落后；</w:t>
      </w:r>
    </w:p>
    <w:p>
      <w:pPr>
        <w:adjustRightInd w:val="0"/>
        <w:snapToGrid w:val="0"/>
        <w:spacing w:line="312" w:lineRule="auto"/>
        <w:ind w:firstLine="420" w:firstLineChars="200"/>
        <w:rPr>
          <w:rFonts w:hint="eastAsia" w:ascii="仿宋" w:hAnsi="仿宋" w:eastAsia="仿宋"/>
        </w:rPr>
      </w:pPr>
      <w:r>
        <w:rPr>
          <w:rFonts w:ascii="仿宋" w:hAnsi="仿宋" w:eastAsia="仿宋"/>
        </w:rPr>
        <w:t>3.主要业务发生变动；</w:t>
      </w:r>
    </w:p>
    <w:p>
      <w:pPr>
        <w:adjustRightInd w:val="0"/>
        <w:snapToGrid w:val="0"/>
        <w:spacing w:line="312" w:lineRule="auto"/>
        <w:ind w:firstLine="420" w:firstLineChars="200"/>
        <w:rPr>
          <w:rFonts w:hint="eastAsia" w:ascii="仿宋" w:hAnsi="仿宋" w:eastAsia="仿宋"/>
        </w:rPr>
      </w:pPr>
      <w:r>
        <w:rPr>
          <w:rFonts w:ascii="仿宋" w:hAnsi="仿宋" w:eastAsia="仿宋"/>
        </w:rPr>
        <w:t>4.缺乏操作控制、程序、质量控制等；</w:t>
      </w:r>
    </w:p>
    <w:p>
      <w:pPr>
        <w:adjustRightInd w:val="0"/>
        <w:snapToGrid w:val="0"/>
        <w:spacing w:line="312" w:lineRule="auto"/>
        <w:ind w:firstLine="420" w:firstLineChars="200"/>
        <w:rPr>
          <w:rFonts w:hint="eastAsia" w:ascii="仿宋" w:hAnsi="仿宋" w:eastAsia="仿宋"/>
        </w:rPr>
      </w:pPr>
      <w:r>
        <w:rPr>
          <w:rFonts w:ascii="仿宋" w:hAnsi="仿宋" w:eastAsia="仿宋"/>
        </w:rPr>
        <w:t>5.主要产品线上的供货商或客户流失；</w:t>
      </w:r>
    </w:p>
    <w:p>
      <w:pPr>
        <w:adjustRightInd w:val="0"/>
        <w:snapToGrid w:val="0"/>
        <w:spacing w:line="312" w:lineRule="auto"/>
        <w:ind w:firstLine="420" w:firstLineChars="200"/>
        <w:rPr>
          <w:rFonts w:hint="eastAsia" w:ascii="仿宋" w:hAnsi="仿宋" w:eastAsia="仿宋"/>
        </w:rPr>
      </w:pPr>
      <w:r>
        <w:rPr>
          <w:rFonts w:ascii="仿宋" w:hAnsi="仿宋" w:eastAsia="仿宋"/>
        </w:rPr>
        <w:t>6.水电费或其他公用事业收费的支出显著减少。</w:t>
      </w:r>
    </w:p>
    <w:p>
      <w:pPr>
        <w:adjustRightInd w:val="0"/>
        <w:snapToGrid w:val="0"/>
        <w:spacing w:line="312" w:lineRule="auto"/>
        <w:ind w:firstLine="420" w:firstLineChars="200"/>
        <w:rPr>
          <w:rFonts w:hint="eastAsia" w:ascii="仿宋" w:hAnsi="仿宋" w:eastAsia="仿宋"/>
        </w:rPr>
      </w:pPr>
      <w:r>
        <w:rPr>
          <w:rFonts w:ascii="仿宋" w:hAnsi="仿宋" w:eastAsia="仿宋"/>
        </w:rPr>
        <w:t>（六）财务状况变化信号</w:t>
      </w:r>
    </w:p>
    <w:p>
      <w:pPr>
        <w:adjustRightInd w:val="0"/>
        <w:snapToGrid w:val="0"/>
        <w:spacing w:line="312" w:lineRule="auto"/>
        <w:ind w:firstLine="420" w:firstLineChars="200"/>
        <w:rPr>
          <w:rFonts w:hint="eastAsia" w:ascii="仿宋" w:hAnsi="仿宋" w:eastAsia="仿宋"/>
        </w:rPr>
      </w:pPr>
      <w:r>
        <w:rPr>
          <w:rFonts w:ascii="仿宋" w:hAnsi="仿宋" w:eastAsia="仿宋"/>
        </w:rPr>
        <w:t>1.付息或还本拖延，经常申请延期支付，或申请实施新的授信，或不断透支；</w:t>
      </w:r>
    </w:p>
    <w:p>
      <w:pPr>
        <w:adjustRightInd w:val="0"/>
        <w:snapToGrid w:val="0"/>
        <w:spacing w:line="312" w:lineRule="auto"/>
        <w:ind w:firstLine="420" w:firstLineChars="200"/>
        <w:rPr>
          <w:rFonts w:hint="eastAsia" w:ascii="仿宋" w:hAnsi="仿宋" w:eastAsia="仿宋"/>
        </w:rPr>
      </w:pPr>
      <w:r>
        <w:rPr>
          <w:rFonts w:ascii="仿宋" w:hAnsi="仿宋" w:eastAsia="仿宋"/>
        </w:rPr>
        <w:t>2.申请实施授信支付其他银行的债务，授信抵押品情况恶化或再次用于抵押；</w:t>
      </w:r>
    </w:p>
    <w:p>
      <w:pPr>
        <w:adjustRightInd w:val="0"/>
        <w:snapToGrid w:val="0"/>
        <w:spacing w:line="312" w:lineRule="auto"/>
        <w:ind w:firstLine="420" w:firstLineChars="200"/>
        <w:rPr>
          <w:rFonts w:hint="eastAsia" w:ascii="仿宋" w:hAnsi="仿宋" w:eastAsia="仿宋"/>
        </w:rPr>
      </w:pPr>
      <w:r>
        <w:rPr>
          <w:rFonts w:ascii="仿宋" w:hAnsi="仿宋" w:eastAsia="仿宋"/>
        </w:rPr>
        <w:t>3.客户或其业主或其主要股东向其他企业或个人提供抵（质）押物担保或保证；</w:t>
      </w:r>
    </w:p>
    <w:p>
      <w:pPr>
        <w:adjustRightInd w:val="0"/>
        <w:snapToGrid w:val="0"/>
        <w:spacing w:line="312" w:lineRule="auto"/>
        <w:ind w:firstLine="420" w:firstLineChars="200"/>
        <w:rPr>
          <w:rFonts w:hint="eastAsia" w:ascii="仿宋" w:hAnsi="仿宋" w:eastAsia="仿宋"/>
        </w:rPr>
      </w:pPr>
      <w:r>
        <w:rPr>
          <w:rFonts w:ascii="仿宋" w:hAnsi="仿宋" w:eastAsia="仿宋"/>
        </w:rPr>
        <w:t>4.客户主要股东向其他人转让或拟转让股权；</w:t>
      </w:r>
    </w:p>
    <w:p>
      <w:pPr>
        <w:adjustRightInd w:val="0"/>
        <w:snapToGrid w:val="0"/>
        <w:spacing w:line="312" w:lineRule="auto"/>
        <w:ind w:firstLine="420" w:firstLineChars="200"/>
        <w:rPr>
          <w:rFonts w:hint="eastAsia" w:ascii="仿宋" w:hAnsi="仿宋" w:eastAsia="仿宋"/>
        </w:rPr>
      </w:pPr>
      <w:r>
        <w:rPr>
          <w:rFonts w:ascii="仿宋" w:hAnsi="仿宋" w:eastAsia="仿宋"/>
        </w:rPr>
        <w:t>5.客户财务比率指标恶化，包括：</w:t>
      </w:r>
    </w:p>
    <w:p>
      <w:pPr>
        <w:adjustRightInd w:val="0"/>
        <w:snapToGrid w:val="0"/>
        <w:spacing w:line="312" w:lineRule="auto"/>
        <w:ind w:firstLine="420" w:firstLineChars="200"/>
        <w:rPr>
          <w:rFonts w:hint="eastAsia" w:ascii="仿宋" w:hAnsi="仿宋" w:eastAsia="仿宋"/>
        </w:rPr>
      </w:pPr>
      <w:r>
        <w:rPr>
          <w:rFonts w:ascii="仿宋" w:hAnsi="仿宋" w:eastAsia="仿宋"/>
        </w:rPr>
        <w:t>（1）流动性比率如流动比率、速动比率等过低；</w:t>
      </w:r>
    </w:p>
    <w:p>
      <w:pPr>
        <w:adjustRightInd w:val="0"/>
        <w:snapToGrid w:val="0"/>
        <w:spacing w:line="312" w:lineRule="auto"/>
        <w:ind w:firstLine="420" w:firstLineChars="200"/>
        <w:rPr>
          <w:rFonts w:hint="eastAsia" w:ascii="仿宋" w:hAnsi="仿宋" w:eastAsia="仿宋"/>
        </w:rPr>
      </w:pPr>
      <w:r>
        <w:rPr>
          <w:rFonts w:ascii="仿宋" w:hAnsi="仿宋" w:eastAsia="仿宋"/>
        </w:rPr>
        <w:t>（2）杠杆比率如负债比率过高，经常用短期债务支付长期债务或作为长期资金使用；</w:t>
      </w:r>
    </w:p>
    <w:p>
      <w:pPr>
        <w:adjustRightInd w:val="0"/>
        <w:snapToGrid w:val="0"/>
        <w:spacing w:line="312" w:lineRule="auto"/>
        <w:ind w:firstLine="420" w:firstLineChars="200"/>
        <w:rPr>
          <w:rFonts w:hint="eastAsia" w:ascii="仿宋" w:hAnsi="仿宋" w:eastAsia="仿宋"/>
        </w:rPr>
      </w:pPr>
      <w:r>
        <w:rPr>
          <w:rFonts w:ascii="仿宋" w:hAnsi="仿宋" w:eastAsia="仿宋"/>
        </w:rPr>
        <w:t>（3）保障比率如利息保障倍数过低，现金流不足以支付利息；</w:t>
      </w:r>
    </w:p>
    <w:p>
      <w:pPr>
        <w:adjustRightInd w:val="0"/>
        <w:snapToGrid w:val="0"/>
        <w:spacing w:line="312" w:lineRule="auto"/>
        <w:ind w:firstLine="420" w:firstLineChars="200"/>
        <w:rPr>
          <w:rFonts w:hint="eastAsia" w:ascii="仿宋" w:hAnsi="仿宋" w:eastAsia="仿宋"/>
        </w:rPr>
      </w:pPr>
      <w:r>
        <w:rPr>
          <w:rFonts w:ascii="仿宋" w:hAnsi="仿宋" w:eastAsia="仿宋"/>
        </w:rPr>
        <w:t>（4）获利能力比率如资产收益率、资本收益率等大幅下降。</w:t>
      </w:r>
    </w:p>
    <w:p>
      <w:pPr>
        <w:adjustRightInd w:val="0"/>
        <w:snapToGrid w:val="0"/>
        <w:spacing w:line="312" w:lineRule="auto"/>
        <w:ind w:firstLine="420" w:firstLineChars="200"/>
        <w:rPr>
          <w:rFonts w:hint="eastAsia" w:ascii="仿宋" w:hAnsi="仿宋" w:eastAsia="仿宋"/>
        </w:rPr>
      </w:pPr>
      <w:r>
        <w:rPr>
          <w:rFonts w:ascii="仿宋" w:hAnsi="仿宋" w:eastAsia="仿宋"/>
        </w:rPr>
        <w:t>6.应收、应付项目发生异常变化；</w:t>
      </w:r>
    </w:p>
    <w:p>
      <w:pPr>
        <w:adjustRightInd w:val="0"/>
        <w:snapToGrid w:val="0"/>
        <w:spacing w:line="312" w:lineRule="auto"/>
        <w:ind w:firstLine="420" w:firstLineChars="200"/>
        <w:rPr>
          <w:rFonts w:hint="eastAsia" w:ascii="仿宋" w:hAnsi="仿宋" w:eastAsia="仿宋"/>
        </w:rPr>
      </w:pPr>
      <w:r>
        <w:rPr>
          <w:rFonts w:ascii="仿宋" w:hAnsi="仿宋" w:eastAsia="仿宋"/>
        </w:rPr>
        <w:t>7.支票收益人要求核实客户支票账户的余额；</w:t>
      </w:r>
    </w:p>
    <w:p>
      <w:pPr>
        <w:adjustRightInd w:val="0"/>
        <w:snapToGrid w:val="0"/>
        <w:spacing w:line="312" w:lineRule="auto"/>
        <w:ind w:firstLine="420" w:firstLineChars="200"/>
        <w:rPr>
          <w:rFonts w:hint="eastAsia" w:ascii="仿宋" w:hAnsi="仿宋" w:eastAsia="仿宋"/>
        </w:rPr>
      </w:pPr>
      <w:r>
        <w:rPr>
          <w:rFonts w:ascii="仿宋" w:hAnsi="仿宋" w:eastAsia="仿宋"/>
        </w:rPr>
        <w:t>8.定期存款余额减少；</w:t>
      </w:r>
    </w:p>
    <w:p>
      <w:pPr>
        <w:adjustRightInd w:val="0"/>
        <w:snapToGrid w:val="0"/>
        <w:spacing w:line="312" w:lineRule="auto"/>
        <w:ind w:firstLine="420" w:firstLineChars="200"/>
        <w:rPr>
          <w:rFonts w:hint="eastAsia" w:ascii="仿宋" w:hAnsi="仿宋" w:eastAsia="仿宋"/>
        </w:rPr>
      </w:pPr>
      <w:r>
        <w:rPr>
          <w:rFonts w:ascii="仿宋" w:hAnsi="仿宋" w:eastAsia="仿宋"/>
        </w:rPr>
        <w:t>9.授信需求增加，短期债务超常增加；</w:t>
      </w:r>
    </w:p>
    <w:p>
      <w:pPr>
        <w:adjustRightInd w:val="0"/>
        <w:snapToGrid w:val="0"/>
        <w:spacing w:line="312" w:lineRule="auto"/>
        <w:ind w:firstLine="420" w:firstLineChars="200"/>
        <w:rPr>
          <w:rFonts w:hint="eastAsia" w:ascii="仿宋" w:hAnsi="仿宋" w:eastAsia="仿宋"/>
        </w:rPr>
      </w:pPr>
      <w:r>
        <w:rPr>
          <w:rFonts w:ascii="仿宋" w:hAnsi="仿宋" w:eastAsia="仿宋"/>
        </w:rPr>
        <w:t>10.客户自身的配套资金不到位或不充足；</w:t>
      </w:r>
    </w:p>
    <w:p>
      <w:pPr>
        <w:adjustRightInd w:val="0"/>
        <w:snapToGrid w:val="0"/>
        <w:spacing w:line="312" w:lineRule="auto"/>
        <w:ind w:firstLine="420" w:firstLineChars="200"/>
        <w:rPr>
          <w:rFonts w:hint="eastAsia" w:ascii="仿宋" w:hAnsi="仿宋" w:eastAsia="仿宋"/>
        </w:rPr>
      </w:pPr>
      <w:r>
        <w:rPr>
          <w:rFonts w:ascii="仿宋" w:hAnsi="仿宋" w:eastAsia="仿宋"/>
        </w:rPr>
        <w:t>11.其他银行提高对同一客户的利率；</w:t>
      </w:r>
    </w:p>
    <w:p>
      <w:pPr>
        <w:adjustRightInd w:val="0"/>
        <w:snapToGrid w:val="0"/>
        <w:spacing w:line="312" w:lineRule="auto"/>
        <w:ind w:firstLine="420" w:firstLineChars="200"/>
        <w:rPr>
          <w:rFonts w:hint="eastAsia" w:ascii="仿宋" w:hAnsi="仿宋" w:eastAsia="仿宋"/>
        </w:rPr>
      </w:pPr>
      <w:r>
        <w:rPr>
          <w:rFonts w:ascii="仿宋" w:hAnsi="仿宋" w:eastAsia="仿宋"/>
        </w:rPr>
        <w:t>12.客户申请无抵（质）押授信产品或申请特殊还款方式；</w:t>
      </w:r>
    </w:p>
    <w:p>
      <w:pPr>
        <w:adjustRightInd w:val="0"/>
        <w:snapToGrid w:val="0"/>
        <w:spacing w:line="312" w:lineRule="auto"/>
        <w:ind w:firstLine="420" w:firstLineChars="200"/>
        <w:rPr>
          <w:rFonts w:hint="eastAsia" w:ascii="仿宋" w:hAnsi="仿宋" w:eastAsia="仿宋"/>
        </w:rPr>
      </w:pPr>
      <w:r>
        <w:rPr>
          <w:rFonts w:ascii="仿宋" w:hAnsi="仿宋" w:eastAsia="仿宋"/>
        </w:rPr>
        <w:t>13.银行无法控制抵押品和质押权；</w:t>
      </w:r>
    </w:p>
    <w:p>
      <w:pPr>
        <w:adjustRightInd w:val="0"/>
        <w:snapToGrid w:val="0"/>
        <w:spacing w:line="312" w:lineRule="auto"/>
        <w:ind w:firstLine="420" w:firstLineChars="200"/>
        <w:rPr>
          <w:rFonts w:hint="eastAsia" w:ascii="仿宋" w:hAnsi="仿宋" w:eastAsia="仿宋"/>
        </w:rPr>
      </w:pPr>
      <w:r>
        <w:rPr>
          <w:rFonts w:ascii="仿宋" w:hAnsi="仿宋" w:eastAsia="仿宋"/>
        </w:rPr>
        <w:t>14.客户无形资产占比过高或者无形资产估价过高；</w:t>
      </w:r>
    </w:p>
    <w:p>
      <w:pPr>
        <w:adjustRightInd w:val="0"/>
        <w:snapToGrid w:val="0"/>
        <w:spacing w:line="312" w:lineRule="auto"/>
        <w:ind w:firstLine="420" w:firstLineChars="200"/>
        <w:rPr>
          <w:rFonts w:hint="eastAsia" w:ascii="仿宋" w:hAnsi="仿宋" w:eastAsia="仿宋"/>
        </w:rPr>
      </w:pPr>
      <w:r>
        <w:rPr>
          <w:rFonts w:ascii="仿宋" w:hAnsi="仿宋" w:eastAsia="仿宋"/>
        </w:rPr>
        <w:t>15.客户或有负债大幅增加；</w:t>
      </w:r>
    </w:p>
    <w:p>
      <w:pPr>
        <w:adjustRightInd w:val="0"/>
        <w:snapToGrid w:val="0"/>
        <w:spacing w:line="312" w:lineRule="auto"/>
        <w:ind w:firstLine="420" w:firstLineChars="200"/>
        <w:rPr>
          <w:rFonts w:hint="eastAsia" w:ascii="仿宋" w:hAnsi="仿宋" w:eastAsia="仿宋"/>
        </w:rPr>
      </w:pPr>
      <w:r>
        <w:rPr>
          <w:rFonts w:ascii="仿宋" w:hAnsi="仿宋" w:eastAsia="仿宋"/>
        </w:rPr>
        <w:t>16.客户关联交易增多。</w:t>
      </w:r>
    </w:p>
    <w:p>
      <w:pPr>
        <w:adjustRightInd w:val="0"/>
        <w:snapToGrid w:val="0"/>
        <w:spacing w:line="312" w:lineRule="auto"/>
        <w:ind w:firstLine="420" w:firstLineChars="200"/>
        <w:rPr>
          <w:rFonts w:hint="eastAsia" w:ascii="仿宋" w:hAnsi="仿宋" w:eastAsia="仿宋"/>
        </w:rPr>
      </w:pPr>
      <w:r>
        <w:rPr>
          <w:rFonts w:ascii="仿宋" w:hAnsi="仿宋" w:eastAsia="仿宋"/>
        </w:rPr>
        <w:t>（七）客户履约能力变化信号</w:t>
      </w:r>
    </w:p>
    <w:p>
      <w:pPr>
        <w:adjustRightInd w:val="0"/>
        <w:snapToGrid w:val="0"/>
        <w:spacing w:line="312" w:lineRule="auto"/>
        <w:ind w:firstLine="420" w:firstLineChars="200"/>
        <w:rPr>
          <w:rFonts w:hint="eastAsia" w:ascii="仿宋" w:hAnsi="仿宋" w:eastAsia="仿宋"/>
        </w:rPr>
      </w:pPr>
      <w:r>
        <w:rPr>
          <w:rFonts w:ascii="仿宋" w:hAnsi="仿宋" w:eastAsia="仿宋"/>
        </w:rPr>
        <w:t>1.客户现金流出现问题；</w:t>
      </w:r>
    </w:p>
    <w:p>
      <w:pPr>
        <w:adjustRightInd w:val="0"/>
        <w:snapToGrid w:val="0"/>
        <w:spacing w:line="312" w:lineRule="auto"/>
        <w:ind w:firstLine="420" w:firstLineChars="200"/>
        <w:rPr>
          <w:rFonts w:hint="eastAsia" w:ascii="仿宋" w:hAnsi="仿宋" w:eastAsia="仿宋"/>
        </w:rPr>
      </w:pPr>
      <w:r>
        <w:rPr>
          <w:rFonts w:ascii="仿宋" w:hAnsi="仿宋" w:eastAsia="仿宋"/>
        </w:rPr>
        <w:t>2.客户产品或服务的市场需求下降；</w:t>
      </w:r>
    </w:p>
    <w:p>
      <w:pPr>
        <w:adjustRightInd w:val="0"/>
        <w:snapToGrid w:val="0"/>
        <w:spacing w:line="312" w:lineRule="auto"/>
        <w:ind w:firstLine="420" w:firstLineChars="200"/>
        <w:rPr>
          <w:rFonts w:hint="eastAsia" w:ascii="仿宋" w:hAnsi="仿宋" w:eastAsia="仿宋"/>
        </w:rPr>
      </w:pPr>
      <w:r>
        <w:rPr>
          <w:rFonts w:ascii="仿宋" w:hAnsi="仿宋" w:eastAsia="仿宋"/>
        </w:rPr>
        <w:t>3.客户还款记录不正常或未按合同还款；</w:t>
      </w:r>
    </w:p>
    <w:p>
      <w:pPr>
        <w:adjustRightInd w:val="0"/>
        <w:snapToGrid w:val="0"/>
        <w:spacing w:line="312" w:lineRule="auto"/>
        <w:ind w:firstLine="420" w:firstLineChars="200"/>
        <w:rPr>
          <w:rFonts w:hint="eastAsia" w:ascii="仿宋" w:hAnsi="仿宋" w:eastAsia="仿宋"/>
        </w:rPr>
      </w:pPr>
      <w:r>
        <w:rPr>
          <w:rFonts w:ascii="仿宋" w:hAnsi="仿宋" w:eastAsia="仿宋"/>
        </w:rPr>
        <w:t>4.客户欺诈，如在对方付款后故意不提供相应的产品或服务；</w:t>
      </w:r>
    </w:p>
    <w:p>
      <w:pPr>
        <w:adjustRightInd w:val="0"/>
        <w:snapToGrid w:val="0"/>
        <w:spacing w:line="312" w:lineRule="auto"/>
        <w:ind w:firstLine="420" w:firstLineChars="200"/>
        <w:rPr>
          <w:rFonts w:hint="eastAsia" w:ascii="仿宋" w:hAnsi="仿宋" w:eastAsia="仿宋"/>
        </w:rPr>
      </w:pPr>
      <w:r>
        <w:rPr>
          <w:rFonts w:ascii="仿宋" w:hAnsi="仿宋" w:eastAsia="仿宋"/>
        </w:rPr>
        <w:t>5.客户弄虚作假（如伪造或涂改各种批准文件或相关业务凭证）；</w:t>
      </w:r>
    </w:p>
    <w:p>
      <w:pPr>
        <w:adjustRightInd w:val="0"/>
        <w:snapToGrid w:val="0"/>
        <w:spacing w:line="312" w:lineRule="auto"/>
        <w:ind w:firstLine="420" w:firstLineChars="200"/>
        <w:rPr>
          <w:rFonts w:hint="eastAsia" w:ascii="仿宋" w:hAnsi="仿宋" w:eastAsia="仿宋"/>
        </w:rPr>
      </w:pPr>
      <w:r>
        <w:rPr>
          <w:rFonts w:ascii="仿宋" w:hAnsi="仿宋" w:eastAsia="仿宋"/>
        </w:rPr>
        <w:t>6.客户主要业务或经营环境的重大变动。</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