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562" w:name="_Toc17909"/>
      <w:bookmarkStart w:id="563" w:name="_Toc518836077"/>
      <w:r>
        <w:rPr>
          <w:rFonts w:hint="eastAsia"/>
        </w:rPr>
        <w:t>225</w:t>
      </w:r>
      <w:r>
        <w:t>--</w:t>
      </w:r>
      <w:r>
        <w:rPr>
          <w:rFonts w:hint="eastAsia"/>
        </w:rPr>
        <w:t>中国银行业监督管理委员会办公厅</w:t>
      </w:r>
      <w:r>
        <w:br w:type="textWrapping"/>
      </w:r>
      <w:r>
        <w:rPr>
          <w:rFonts w:hint="eastAsia"/>
        </w:rPr>
        <w:t>关于金融机构应否协助公安机关扣划存款问题的批复</w:t>
      </w:r>
      <w:r>
        <w:br w:type="textWrapping"/>
      </w:r>
      <w:r>
        <w:rPr>
          <w:rFonts w:hint="eastAsia"/>
        </w:rPr>
        <w:t>（银监办发〔2006〕127号）</w:t>
      </w:r>
      <w:bookmarkEnd w:id="562"/>
      <w:bookmarkEnd w:id="56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中国农业银行：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你行《关于金融机构应否协助公安机关扣划存款问题的请示》（农银发〔2006〕104号）收悉。经研究，批复如下：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《中华人民共和国商业银行法》第二十九条第二款规定：“对于个人储蓄存款，商业银行有权拒绝任何单位或者个人查询、冻结、扣划，但法律另有规定的除外。”《中华人民共和国刑事诉讼法》第一百一十七条规定：“人民法院、公安机关根据侦察犯罪的需要，可以依照规定查询、冻结犯罪嫌疑人的存款、汇款。”根据上述法律规定，公安机关只能查询、冻结个人或单位存款，无权扣划。因此，公安机关的书面通知不能作为金融机构协助扣划存款的依据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二○○六年四月二十九日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