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02" w:name="_Toc13349"/>
      <w:bookmarkStart w:id="603" w:name="_Toc518836097"/>
      <w:r>
        <w:rPr>
          <w:rFonts w:hint="eastAsia"/>
        </w:rPr>
        <w:t>245--中国银监会办公厅关于建立银行业衍生产品交易业务联系机制的通知</w:t>
      </w:r>
      <w:r>
        <w:rPr>
          <w:rFonts w:hint="eastAsia"/>
        </w:rPr>
        <w:br w:type="textWrapping"/>
      </w:r>
      <w:r>
        <w:rPr>
          <w:rFonts w:hint="eastAsia"/>
        </w:rPr>
        <w:t>（银监办发〔2007〕133号）</w:t>
      </w:r>
      <w:bookmarkEnd w:id="602"/>
      <w:bookmarkEnd w:id="603"/>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各银监局，各政策性银行、国有商业银行、股份制商业银行、邮储银行：</w:t>
      </w:r>
    </w:p>
    <w:p>
      <w:pPr>
        <w:adjustRightInd w:val="0"/>
        <w:snapToGrid w:val="0"/>
        <w:spacing w:line="312" w:lineRule="auto"/>
        <w:ind w:firstLine="420" w:firstLineChars="200"/>
        <w:rPr>
          <w:rFonts w:hint="eastAsia" w:ascii="仿宋" w:hAnsi="仿宋" w:eastAsia="仿宋"/>
        </w:rPr>
      </w:pPr>
      <w:r>
        <w:rPr>
          <w:rFonts w:ascii="仿宋" w:hAnsi="仿宋" w:eastAsia="仿宋"/>
        </w:rPr>
        <w:t>为构建银行业衍生产品交易业务的交流平台，提高银行业衍生产品交易业务监管的有效性，推动我国银行业衍生产品业务健康、快速发展，银监会决定建立银行业衍生产品交易业务联系机制（以下简称联系机制），现就有关内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联系机制是根据原则导向监管理念建立的银行业衍生产品交易业务发展研究、监管政策沟通与同业交流的监管协调机制，包括“高管会议”与“工作会议”两种形式。会议形成的共识将纳入到相关的监管政策中。</w:t>
      </w:r>
    </w:p>
    <w:p>
      <w:pPr>
        <w:adjustRightInd w:val="0"/>
        <w:snapToGrid w:val="0"/>
        <w:spacing w:line="312" w:lineRule="auto"/>
        <w:ind w:firstLine="420" w:firstLineChars="200"/>
        <w:rPr>
          <w:rFonts w:hint="eastAsia" w:ascii="仿宋" w:hAnsi="仿宋" w:eastAsia="仿宋"/>
        </w:rPr>
      </w:pPr>
      <w:r>
        <w:rPr>
          <w:rFonts w:ascii="仿宋" w:hAnsi="仿宋" w:eastAsia="仿宋"/>
        </w:rPr>
        <w:t>二、联系机制由中国银监会组织，取得衍生产品交易资格的银行业金融机构（以下简称成员机构）参加，尚未取得衍生产品交易资格的银行业金融机构可自愿参加。</w:t>
      </w:r>
    </w:p>
    <w:p>
      <w:pPr>
        <w:adjustRightInd w:val="0"/>
        <w:snapToGrid w:val="0"/>
        <w:spacing w:line="312" w:lineRule="auto"/>
        <w:ind w:firstLine="420" w:firstLineChars="200"/>
        <w:rPr>
          <w:rFonts w:hint="eastAsia" w:ascii="仿宋" w:hAnsi="仿宋" w:eastAsia="仿宋"/>
        </w:rPr>
      </w:pPr>
      <w:r>
        <w:rPr>
          <w:rFonts w:ascii="仿宋" w:hAnsi="仿宋" w:eastAsia="仿宋"/>
        </w:rPr>
        <w:t>三、“高管会议”主要由成员机构主管衍生产品交易业务的副行长（或相应职级的高管人员）参加，主要就银行业衍生产品业务发展中需要沟通协调的重大问题进行讨论，原则上每季度或每半年召开一次，根据需要也可临时召开。</w:t>
      </w:r>
    </w:p>
    <w:p>
      <w:pPr>
        <w:adjustRightInd w:val="0"/>
        <w:snapToGrid w:val="0"/>
        <w:spacing w:line="312" w:lineRule="auto"/>
        <w:ind w:firstLine="420" w:firstLineChars="200"/>
        <w:rPr>
          <w:rFonts w:hint="eastAsia" w:ascii="仿宋" w:hAnsi="仿宋" w:eastAsia="仿宋"/>
        </w:rPr>
      </w:pPr>
      <w:r>
        <w:rPr>
          <w:rFonts w:ascii="仿宋" w:hAnsi="仿宋" w:eastAsia="仿宋"/>
        </w:rPr>
        <w:t>四、“工作会议”主要由成员机构衍生产品交易业务部门的负责人参加，主要就银行业衍生产品业务发展中关于业务、技术、信息等方面需要沟通协调的问题进行讨论，原则上每月或每两月召开一次，根据需要也可临时召开。</w:t>
      </w:r>
    </w:p>
    <w:p>
      <w:pPr>
        <w:adjustRightInd w:val="0"/>
        <w:snapToGrid w:val="0"/>
        <w:spacing w:line="312" w:lineRule="auto"/>
        <w:ind w:firstLine="420" w:firstLineChars="200"/>
        <w:rPr>
          <w:rFonts w:hint="eastAsia" w:ascii="仿宋" w:hAnsi="仿宋" w:eastAsia="仿宋"/>
        </w:rPr>
      </w:pPr>
      <w:r>
        <w:rPr>
          <w:rFonts w:ascii="仿宋" w:hAnsi="仿宋" w:eastAsia="仿宋"/>
        </w:rPr>
        <w:t>五、根据具体议题的需要，也可将“高管会议”与“工作会议”合并召开。</w:t>
      </w:r>
    </w:p>
    <w:p>
      <w:pPr>
        <w:adjustRightInd w:val="0"/>
        <w:snapToGrid w:val="0"/>
        <w:spacing w:line="312" w:lineRule="auto"/>
        <w:ind w:firstLine="420" w:firstLineChars="200"/>
        <w:rPr>
          <w:rFonts w:hint="eastAsia" w:ascii="仿宋" w:hAnsi="仿宋" w:eastAsia="仿宋"/>
        </w:rPr>
      </w:pPr>
      <w:r>
        <w:rPr>
          <w:rFonts w:ascii="仿宋" w:hAnsi="仿宋" w:eastAsia="仿宋"/>
        </w:rPr>
        <w:t>六、每次会议将设定主要议题，包括但不限于以下事项：</w:t>
      </w:r>
    </w:p>
    <w:p>
      <w:pPr>
        <w:adjustRightInd w:val="0"/>
        <w:snapToGrid w:val="0"/>
        <w:spacing w:line="312" w:lineRule="auto"/>
        <w:ind w:firstLine="420" w:firstLineChars="200"/>
        <w:rPr>
          <w:rFonts w:hint="eastAsia" w:ascii="仿宋" w:hAnsi="仿宋" w:eastAsia="仿宋"/>
        </w:rPr>
      </w:pPr>
      <w:r>
        <w:rPr>
          <w:rFonts w:ascii="仿宋" w:hAnsi="仿宋" w:eastAsia="仿宋"/>
        </w:rPr>
        <w:t>（一）　银行业衍生产品交易业务的业务创新进展；</w:t>
      </w:r>
    </w:p>
    <w:p>
      <w:pPr>
        <w:adjustRightInd w:val="0"/>
        <w:snapToGrid w:val="0"/>
        <w:spacing w:line="312" w:lineRule="auto"/>
        <w:ind w:firstLine="420" w:firstLineChars="200"/>
        <w:rPr>
          <w:rFonts w:hint="eastAsia" w:ascii="仿宋" w:hAnsi="仿宋" w:eastAsia="仿宋"/>
        </w:rPr>
      </w:pPr>
      <w:r>
        <w:rPr>
          <w:rFonts w:ascii="仿宋" w:hAnsi="仿宋" w:eastAsia="仿宋"/>
        </w:rPr>
        <w:t>（二）　银行业衍生产品交易业务的市场前景判断；</w:t>
      </w:r>
    </w:p>
    <w:p>
      <w:pPr>
        <w:adjustRightInd w:val="0"/>
        <w:snapToGrid w:val="0"/>
        <w:spacing w:line="312" w:lineRule="auto"/>
        <w:ind w:firstLine="420" w:firstLineChars="200"/>
        <w:rPr>
          <w:rFonts w:hint="eastAsia" w:ascii="仿宋" w:hAnsi="仿宋" w:eastAsia="仿宋"/>
        </w:rPr>
      </w:pPr>
      <w:r>
        <w:rPr>
          <w:rFonts w:ascii="仿宋" w:hAnsi="仿宋" w:eastAsia="仿宋"/>
        </w:rPr>
        <w:t>（三）　银行业衍生产品交易业务面临的各类风险的管理框架；</w:t>
      </w:r>
    </w:p>
    <w:p>
      <w:pPr>
        <w:adjustRightInd w:val="0"/>
        <w:snapToGrid w:val="0"/>
        <w:spacing w:line="312" w:lineRule="auto"/>
        <w:ind w:firstLine="420" w:firstLineChars="200"/>
        <w:rPr>
          <w:rFonts w:hint="eastAsia" w:ascii="仿宋" w:hAnsi="仿宋" w:eastAsia="仿宋"/>
        </w:rPr>
      </w:pPr>
      <w:r>
        <w:rPr>
          <w:rFonts w:ascii="仿宋" w:hAnsi="仿宋" w:eastAsia="仿宋"/>
        </w:rPr>
        <w:t>（四）　银行业衍生产品交易业务发展的基础环境建设；</w:t>
      </w:r>
    </w:p>
    <w:p>
      <w:pPr>
        <w:adjustRightInd w:val="0"/>
        <w:snapToGrid w:val="0"/>
        <w:spacing w:line="312" w:lineRule="auto"/>
        <w:ind w:firstLine="420" w:firstLineChars="200"/>
        <w:rPr>
          <w:rFonts w:hint="eastAsia" w:ascii="仿宋" w:hAnsi="仿宋" w:eastAsia="仿宋"/>
        </w:rPr>
      </w:pPr>
      <w:r>
        <w:rPr>
          <w:rFonts w:ascii="仿宋" w:hAnsi="仿宋" w:eastAsia="仿宋"/>
        </w:rPr>
        <w:t>（五）　银行业衍生产品交易业务的监管政策讨论；</w:t>
      </w:r>
    </w:p>
    <w:p>
      <w:pPr>
        <w:adjustRightInd w:val="0"/>
        <w:snapToGrid w:val="0"/>
        <w:spacing w:line="312" w:lineRule="auto"/>
        <w:ind w:firstLine="420" w:firstLineChars="200"/>
        <w:rPr>
          <w:rFonts w:hint="eastAsia" w:ascii="仿宋" w:hAnsi="仿宋" w:eastAsia="仿宋"/>
        </w:rPr>
      </w:pPr>
      <w:r>
        <w:rPr>
          <w:rFonts w:ascii="仿宋" w:hAnsi="仿宋" w:eastAsia="仿宋"/>
        </w:rPr>
        <w:t>（六）　研究衍生品交易和风险管理方面的国际经验；</w:t>
      </w:r>
    </w:p>
    <w:p>
      <w:pPr>
        <w:adjustRightInd w:val="0"/>
        <w:snapToGrid w:val="0"/>
        <w:spacing w:line="312" w:lineRule="auto"/>
        <w:ind w:firstLine="420" w:firstLineChars="200"/>
        <w:rPr>
          <w:rFonts w:hint="eastAsia" w:ascii="仿宋" w:hAnsi="仿宋" w:eastAsia="仿宋"/>
        </w:rPr>
      </w:pPr>
      <w:r>
        <w:rPr>
          <w:rFonts w:ascii="仿宋" w:hAnsi="仿宋" w:eastAsia="仿宋"/>
        </w:rPr>
        <w:t>（七）　其他关于银行业衍生产品交易业务需要进行的监管协调事项。</w:t>
      </w:r>
    </w:p>
    <w:p>
      <w:pPr>
        <w:adjustRightInd w:val="0"/>
        <w:snapToGrid w:val="0"/>
        <w:spacing w:line="312" w:lineRule="auto"/>
        <w:ind w:firstLine="420" w:firstLineChars="200"/>
        <w:rPr>
          <w:rFonts w:hint="eastAsia" w:ascii="仿宋" w:hAnsi="仿宋" w:eastAsia="仿宋"/>
        </w:rPr>
      </w:pPr>
      <w:r>
        <w:rPr>
          <w:rFonts w:ascii="仿宋" w:hAnsi="仿宋" w:eastAsia="仿宋"/>
        </w:rPr>
        <w:t>七、中国银监会创新监管部负责落实联系机制的具体组织工作。创新监管部或由其委托的成员机构负责提前向各成员机构征询具体会议议题，经整理研究后确定出席会议的成员机构和讨论议题，并召集会议。</w:t>
      </w:r>
    </w:p>
    <w:p>
      <w:pPr>
        <w:adjustRightInd w:val="0"/>
        <w:snapToGrid w:val="0"/>
        <w:spacing w:line="312" w:lineRule="auto"/>
        <w:ind w:firstLine="420" w:firstLineChars="200"/>
        <w:rPr>
          <w:rFonts w:hint="eastAsia" w:ascii="仿宋" w:hAnsi="仿宋" w:eastAsia="仿宋"/>
        </w:rPr>
      </w:pPr>
      <w:r>
        <w:rPr>
          <w:rFonts w:ascii="仿宋" w:hAnsi="仿宋" w:eastAsia="仿宋"/>
        </w:rPr>
        <w:t>八、根据会议具体议题，将邀请中国银监会相关部门、有关派出机构，人民银行、证监会、保监会、外管局，外汇交易中心、中央结算公司、货币经纪公司等机构的相关人员以及专家、学者等参加会议。</w:t>
      </w:r>
    </w:p>
    <w:p>
      <w:pPr>
        <w:adjustRightInd w:val="0"/>
        <w:snapToGrid w:val="0"/>
        <w:spacing w:line="312" w:lineRule="auto"/>
        <w:ind w:firstLine="420" w:firstLineChars="200"/>
        <w:rPr>
          <w:rFonts w:hint="eastAsia" w:ascii="仿宋" w:hAnsi="仿宋" w:eastAsia="仿宋"/>
        </w:rPr>
      </w:pPr>
      <w:r>
        <w:rPr>
          <w:rFonts w:ascii="仿宋" w:hAnsi="仿宋" w:eastAsia="仿宋"/>
        </w:rPr>
        <w:t>九、已取得衍生产品交易资格的银行业金融机构在收到本通知10日内应向中国银监会创新监管部报送以下材料：</w:t>
      </w:r>
    </w:p>
    <w:p>
      <w:pPr>
        <w:adjustRightInd w:val="0"/>
        <w:snapToGrid w:val="0"/>
        <w:spacing w:line="312" w:lineRule="auto"/>
        <w:ind w:firstLine="420" w:firstLineChars="200"/>
        <w:rPr>
          <w:rFonts w:hint="eastAsia" w:ascii="仿宋" w:hAnsi="仿宋" w:eastAsia="仿宋"/>
        </w:rPr>
      </w:pPr>
      <w:r>
        <w:rPr>
          <w:rFonts w:ascii="仿宋" w:hAnsi="仿宋" w:eastAsia="仿宋"/>
        </w:rPr>
        <w:t>（一）本机构负责衍生产品交易业务的副行长（或相应职级的高管人员）名单（1名）、主要教育经历、从业履历；</w:t>
      </w:r>
    </w:p>
    <w:p>
      <w:pPr>
        <w:adjustRightInd w:val="0"/>
        <w:snapToGrid w:val="0"/>
        <w:spacing w:line="312" w:lineRule="auto"/>
        <w:ind w:firstLine="420" w:firstLineChars="200"/>
        <w:rPr>
          <w:rFonts w:hint="eastAsia" w:ascii="仿宋" w:hAnsi="仿宋" w:eastAsia="仿宋"/>
        </w:rPr>
      </w:pPr>
      <w:r>
        <w:rPr>
          <w:rFonts w:ascii="仿宋" w:hAnsi="仿宋" w:eastAsia="仿宋"/>
        </w:rPr>
        <w:t>（二）本机构负责衍生产品交易业务的部门负责人名单（1名）、联系方式、主要教育经历、从业履历；</w:t>
      </w:r>
    </w:p>
    <w:p>
      <w:pPr>
        <w:adjustRightInd w:val="0"/>
        <w:snapToGrid w:val="0"/>
        <w:spacing w:line="312" w:lineRule="auto"/>
        <w:ind w:firstLine="420" w:firstLineChars="200"/>
        <w:rPr>
          <w:rFonts w:hint="eastAsia" w:ascii="仿宋" w:hAnsi="仿宋" w:eastAsia="仿宋"/>
        </w:rPr>
      </w:pPr>
      <w:r>
        <w:rPr>
          <w:rFonts w:ascii="仿宋" w:hAnsi="仿宋" w:eastAsia="仿宋"/>
        </w:rPr>
        <w:t>（三）参加联系机制的具体联系人名单（衍生产品交易人员1名、衍生产品交易风险管理人员1名）、联系方式、主要教育经历、从业履历。</w:t>
      </w:r>
    </w:p>
    <w:p>
      <w:pPr>
        <w:adjustRightInd w:val="0"/>
        <w:snapToGrid w:val="0"/>
        <w:spacing w:line="312" w:lineRule="auto"/>
        <w:ind w:firstLine="420" w:firstLineChars="200"/>
        <w:rPr>
          <w:rFonts w:hint="eastAsia" w:ascii="仿宋" w:hAnsi="仿宋" w:eastAsia="仿宋"/>
        </w:rPr>
      </w:pPr>
      <w:r>
        <w:rPr>
          <w:rFonts w:ascii="仿宋" w:hAnsi="仿宋" w:eastAsia="仿宋"/>
        </w:rPr>
        <w:t>上述人员发生变化时，应及时更新相应信息。</w:t>
      </w:r>
    </w:p>
    <w:p>
      <w:pPr>
        <w:adjustRightInd w:val="0"/>
        <w:snapToGrid w:val="0"/>
        <w:spacing w:line="312" w:lineRule="auto"/>
        <w:ind w:firstLine="420" w:firstLineChars="200"/>
        <w:rPr>
          <w:rFonts w:hint="eastAsia" w:ascii="仿宋" w:hAnsi="仿宋" w:eastAsia="仿宋"/>
        </w:rPr>
      </w:pPr>
      <w:r>
        <w:rPr>
          <w:rFonts w:ascii="仿宋" w:hAnsi="仿宋" w:eastAsia="仿宋"/>
        </w:rPr>
        <w:t>十、在本通知印发以后取得衍生产品交易资格的银行业金融机构自动适用本通知各项规定，并在收到批复文件10日内按第九条规定报送相关材料。</w:t>
      </w:r>
    </w:p>
    <w:p>
      <w:pPr>
        <w:adjustRightInd w:val="0"/>
        <w:snapToGrid w:val="0"/>
        <w:spacing w:line="312" w:lineRule="auto"/>
        <w:ind w:firstLine="420" w:firstLineChars="200"/>
        <w:rPr>
          <w:rFonts w:hint="eastAsia" w:ascii="仿宋" w:hAnsi="仿宋" w:eastAsia="仿宋"/>
        </w:rPr>
      </w:pPr>
      <w:r>
        <w:rPr>
          <w:rFonts w:ascii="仿宋" w:hAnsi="仿宋" w:eastAsia="仿宋"/>
        </w:rPr>
        <w:t>十一、境内外资法人银行、外国银行分行、城市商业银行、农村商业银行、农村合作银行等其他银行业金融机构均适用本通知各项规定。外国银行分行以主报告行名义参加联系机制，参加联系机制的人员应为主报告行人员。</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请各银监局将本通知转发至辖内银行业金融机构。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二○○七年六月七日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