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28" w:name="_Toc518836110"/>
      <w:bookmarkStart w:id="629" w:name="_Toc11435"/>
      <w:r>
        <w:rPr>
          <w:rFonts w:hint="eastAsia"/>
        </w:rPr>
        <w:t>258</w:t>
      </w:r>
      <w:r>
        <w:t>--</w:t>
      </w:r>
      <w:r>
        <w:rPr>
          <w:rFonts w:hint="eastAsia"/>
        </w:rPr>
        <w:t>中国银监会办公厅关于根据《内地与澳门关于建立更紧密经贸关系的安排》</w:t>
      </w:r>
      <w:r>
        <w:br w:type="textWrapping"/>
      </w:r>
      <w:r>
        <w:rPr>
          <w:rFonts w:hint="eastAsia"/>
        </w:rPr>
        <w:t>补充协议四进一步对外开放银行业有关工作的通知</w:t>
      </w:r>
      <w:r>
        <w:rPr>
          <w:rFonts w:hint="eastAsia"/>
        </w:rPr>
        <w:br w:type="textWrapping"/>
      </w:r>
      <w:r>
        <w:rPr>
          <w:rFonts w:hint="eastAsia"/>
        </w:rPr>
        <w:t>（银监办发〔2007〕257号）</w:t>
      </w:r>
      <w:bookmarkEnd w:id="628"/>
      <w:bookmarkEnd w:id="629"/>
    </w:p>
    <w:p>
      <w:pPr>
        <w:widowControl/>
        <w:jc w:val="left"/>
        <w:rPr>
          <w:rFonts w:hint="eastAsia" w:ascii="仿宋" w:hAnsi="仿宋" w:eastAsia="仿宋"/>
          <w:szCs w:val="21"/>
        </w:rPr>
      </w:pPr>
    </w:p>
    <w:p>
      <w:pPr>
        <w:adjustRightInd w:val="0"/>
        <w:snapToGrid w:val="0"/>
        <w:spacing w:line="312" w:lineRule="auto"/>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为履行中华人民共和国商务部与中华人民共和国澳门特别行政区经济财政司</w:t>
      </w:r>
      <w:r>
        <w:rPr>
          <w:rFonts w:ascii="仿宋" w:hAnsi="仿宋" w:eastAsia="仿宋"/>
        </w:rPr>
        <w:t>2007年7月2日签署的《内地与澳门关于建立更紧密经贸关系的安排》补充协议四，提高对外开放水准，现就有关事项通知如下：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一、澳门银行入股内地银行，提出申请前一年年末总资产由不低于</w:t>
      </w:r>
      <w:r>
        <w:rPr>
          <w:rFonts w:ascii="仿宋" w:hAnsi="仿宋" w:eastAsia="仿宋"/>
        </w:rPr>
        <w:t>100亿美元降至60亿美元。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二、为澳门银行在内地中西部、东北部地区和广东省开设分行设立绿色通道。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三、鼓励澳门银行到内地农村设立村镇银行。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四、积极支持内地银行赴澳门开设分支机构经营业务。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五、放宽澳门银行或财务公司从事实质性商业经营年限的要求。符合</w:t>
      </w:r>
      <w:r>
        <w:rPr>
          <w:rFonts w:ascii="仿宋" w:hAnsi="仿宋" w:eastAsia="仿宋"/>
        </w:rPr>
        <w:t>CEPA下银行业"澳门服务提供者"是指，提供银行及其它金融服务（不包括保险和证劵）的澳门服务提供者，即澳门银行或财务公司，应在获得澳门金融管理专员根据《银行业条例》批给有关牌照后，从事实质性商业经营5年以上（含5年）；或以分行形式经营2年并且以本地注册形式从事实质性商业经营3年以上（含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六、以上事项于</w:t>
      </w:r>
      <w:r>
        <w:rPr>
          <w:rFonts w:ascii="仿宋" w:hAnsi="仿宋" w:eastAsia="仿宋"/>
        </w:rPr>
        <w:t>2008年1月1日起实施。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请各银监局将本通知中的有关事项通知辖内银监分局及外资金融机构，并随时将对外开放银行业过程中出现的新情况、新问题以及有关意见和建议报告银监会。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二○○七年十二月十四日</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