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630" w:name="_Toc518836111"/>
      <w:bookmarkStart w:id="631" w:name="_Toc27768"/>
      <w:r>
        <w:rPr>
          <w:rFonts w:hint="eastAsia"/>
        </w:rPr>
        <w:t>259</w:t>
      </w:r>
      <w:r>
        <w:t>--</w:t>
      </w:r>
      <w:r>
        <w:rPr>
          <w:rFonts w:hint="eastAsia"/>
        </w:rPr>
        <w:t>中国银监会办公厅关于根据《内地与香港关于建立更紧密经贸关系的安排》</w:t>
      </w:r>
      <w:r>
        <w:br w:type="textWrapping"/>
      </w:r>
      <w:r>
        <w:rPr>
          <w:rFonts w:hint="eastAsia"/>
        </w:rPr>
        <w:t>补充协议四进一步对外开放银行业有关工作的通知</w:t>
      </w:r>
      <w:r>
        <w:rPr>
          <w:rFonts w:hint="eastAsia"/>
        </w:rPr>
        <w:br w:type="textWrapping"/>
      </w:r>
      <w:r>
        <w:rPr>
          <w:rFonts w:hint="eastAsia"/>
        </w:rPr>
        <w:t>（银监办发〔2007〕258号）</w:t>
      </w:r>
      <w:bookmarkEnd w:id="630"/>
      <w:bookmarkEnd w:id="631"/>
    </w:p>
    <w:p>
      <w:pPr>
        <w:adjustRightInd w:val="0"/>
        <w:snapToGrid w:val="0"/>
        <w:spacing w:line="312" w:lineRule="auto"/>
        <w:rPr>
          <w:rFonts w:hint="eastAsia" w:ascii="仿宋" w:hAnsi="仿宋" w:eastAsia="仿宋"/>
        </w:rPr>
      </w:pPr>
      <w:r>
        <w:rPr>
          <w:rFonts w:ascii="仿宋" w:hAnsi="仿宋" w:eastAsia="仿宋"/>
        </w:rPr>
        <w:t>各银监局：</w:t>
      </w:r>
    </w:p>
    <w:p>
      <w:pPr>
        <w:adjustRightInd w:val="0"/>
        <w:snapToGrid w:val="0"/>
        <w:spacing w:line="312" w:lineRule="auto"/>
        <w:ind w:firstLine="420" w:firstLineChars="200"/>
        <w:rPr>
          <w:rFonts w:hint="eastAsia" w:ascii="仿宋" w:hAnsi="仿宋" w:eastAsia="仿宋"/>
        </w:rPr>
      </w:pPr>
      <w:r>
        <w:rPr>
          <w:rFonts w:ascii="仿宋" w:hAnsi="仿宋" w:eastAsia="仿宋"/>
        </w:rPr>
        <w:t>为履行中华人民共和国商务部与中华人民共和国香港特别行政区财政司2007年6月29日签署的《内地与香港关于建立更紧密经贸关系的安排》补充协议四，提高对外开放水平，现就有关事项通知如下：</w:t>
      </w:r>
    </w:p>
    <w:p>
      <w:pPr>
        <w:adjustRightInd w:val="0"/>
        <w:snapToGrid w:val="0"/>
        <w:spacing w:line="312" w:lineRule="auto"/>
        <w:ind w:firstLine="420" w:firstLineChars="200"/>
        <w:rPr>
          <w:rFonts w:hint="eastAsia" w:ascii="仿宋" w:hAnsi="仿宋" w:eastAsia="仿宋"/>
        </w:rPr>
      </w:pPr>
      <w:r>
        <w:rPr>
          <w:rFonts w:ascii="仿宋" w:hAnsi="仿宋" w:eastAsia="仿宋"/>
        </w:rPr>
        <w:t>一、香港银行入股内地银行，提出申请前一年年末总资产由不低于100亿美元降至60亿美元。</w:t>
      </w:r>
    </w:p>
    <w:p>
      <w:pPr>
        <w:adjustRightInd w:val="0"/>
        <w:snapToGrid w:val="0"/>
        <w:spacing w:line="312" w:lineRule="auto"/>
        <w:ind w:firstLine="420" w:firstLineChars="200"/>
        <w:rPr>
          <w:rFonts w:hint="eastAsia" w:ascii="仿宋" w:hAnsi="仿宋" w:eastAsia="仿宋"/>
        </w:rPr>
      </w:pPr>
      <w:r>
        <w:rPr>
          <w:rFonts w:ascii="仿宋" w:hAnsi="仿宋" w:eastAsia="仿宋"/>
        </w:rPr>
        <w:t>二、为香港银行在内地中西部、东北部地区和广东省开设分行设立绿色通道。</w:t>
      </w:r>
    </w:p>
    <w:p>
      <w:pPr>
        <w:adjustRightInd w:val="0"/>
        <w:snapToGrid w:val="0"/>
        <w:spacing w:line="312" w:lineRule="auto"/>
        <w:ind w:firstLine="420" w:firstLineChars="200"/>
        <w:rPr>
          <w:rFonts w:hint="eastAsia" w:ascii="仿宋" w:hAnsi="仿宋" w:eastAsia="仿宋"/>
        </w:rPr>
      </w:pPr>
      <w:r>
        <w:rPr>
          <w:rFonts w:ascii="仿宋" w:hAnsi="仿宋" w:eastAsia="仿宋"/>
        </w:rPr>
        <w:t>三、鼓励香港银行到内地农村设立村镇银行。</w:t>
      </w:r>
    </w:p>
    <w:p>
      <w:pPr>
        <w:adjustRightInd w:val="0"/>
        <w:snapToGrid w:val="0"/>
        <w:spacing w:line="312" w:lineRule="auto"/>
        <w:ind w:firstLine="420" w:firstLineChars="200"/>
        <w:rPr>
          <w:rFonts w:hint="eastAsia" w:ascii="仿宋" w:hAnsi="仿宋" w:eastAsia="仿宋"/>
        </w:rPr>
      </w:pPr>
      <w:r>
        <w:rPr>
          <w:rFonts w:ascii="仿宋" w:hAnsi="仿宋" w:eastAsia="仿宋"/>
        </w:rPr>
        <w:t>四、积极支持内地银行赴香港开设分支机构经营业务。</w:t>
      </w:r>
    </w:p>
    <w:p>
      <w:pPr>
        <w:adjustRightInd w:val="0"/>
        <w:snapToGrid w:val="0"/>
        <w:spacing w:line="312" w:lineRule="auto"/>
        <w:ind w:firstLine="420" w:firstLineChars="200"/>
        <w:rPr>
          <w:rFonts w:hint="eastAsia" w:ascii="仿宋" w:hAnsi="仿宋" w:eastAsia="仿宋"/>
        </w:rPr>
      </w:pPr>
      <w:r>
        <w:rPr>
          <w:rFonts w:ascii="仿宋" w:hAnsi="仿宋" w:eastAsia="仿宋"/>
        </w:rPr>
        <w:t>五、放宽香港银行或财务公司从事实质性商业经营年限的要求。符合CEPA下银行业“香港服务提供者”是指，提供银行及其他金融服务（不包括保险和证券）的香港服务提供者，即香港银行或财务公司，应在获得香港金融管理专员根据《银行业条例》批给有关牌照后，从事实质性商业经营5年以上（含5年）；或以分行形式经营2年并且以本地注册形式从事实质性商业经营3年以上（含3年）。</w:t>
      </w:r>
    </w:p>
    <w:p>
      <w:pPr>
        <w:adjustRightInd w:val="0"/>
        <w:snapToGrid w:val="0"/>
        <w:spacing w:line="312" w:lineRule="auto"/>
        <w:ind w:firstLine="420" w:firstLineChars="200"/>
        <w:rPr>
          <w:rFonts w:hint="eastAsia" w:ascii="仿宋" w:hAnsi="仿宋" w:eastAsia="仿宋"/>
        </w:rPr>
      </w:pPr>
      <w:r>
        <w:rPr>
          <w:rFonts w:ascii="仿宋" w:hAnsi="仿宋" w:eastAsia="仿宋"/>
        </w:rPr>
        <w:t>六、以上事项于2008年1月1日起实施。</w:t>
      </w:r>
    </w:p>
    <w:p>
      <w:pPr>
        <w:adjustRightInd w:val="0"/>
        <w:snapToGrid w:val="0"/>
        <w:spacing w:line="312" w:lineRule="auto"/>
        <w:ind w:firstLine="420" w:firstLineChars="200"/>
        <w:rPr>
          <w:rFonts w:hint="eastAsia" w:ascii="仿宋" w:hAnsi="仿宋" w:eastAsia="仿宋"/>
        </w:rPr>
      </w:pPr>
      <w:r>
        <w:rPr>
          <w:rFonts w:ascii="仿宋" w:hAnsi="仿宋" w:eastAsia="仿宋"/>
        </w:rPr>
        <w:t>请各银监局将本通知中的有关事项通知辖内银监分局及外资金融机构，并随时将对外开放银行业过程中出现的新情况、新问题以及有关意见和建议报告银监会。</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中国银行业监督管理委员会办公厅</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二〇〇七年十二月十四日</w:t>
      </w: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