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58" w:name="_Toc16140"/>
      <w:bookmarkStart w:id="659" w:name="_Toc518836125"/>
      <w:r>
        <w:rPr>
          <w:rFonts w:hint="eastAsia"/>
        </w:rPr>
        <w:t>273</w:t>
      </w:r>
      <w:r>
        <w:t>--</w:t>
      </w:r>
      <w:r>
        <w:rPr>
          <w:rFonts w:hint="eastAsia"/>
        </w:rPr>
        <w:t>中国银监会办公厅关于鼓励信托公司开展公益信托业务支持灾后重建工作的通知</w:t>
      </w:r>
      <w:r>
        <w:rPr>
          <w:rFonts w:hint="eastAsia"/>
        </w:rPr>
        <w:br w:type="textWrapping"/>
      </w:r>
      <w:r>
        <w:rPr>
          <w:rFonts w:hint="eastAsia"/>
        </w:rPr>
        <w:t>（银监办发〔2008〕93号）</w:t>
      </w:r>
      <w:bookmarkEnd w:id="658"/>
      <w:bookmarkEnd w:id="659"/>
    </w:p>
    <w:p>
      <w:pPr>
        <w:adjustRightInd w:val="0"/>
        <w:snapToGrid w:val="0"/>
        <w:spacing w:line="312" w:lineRule="auto"/>
        <w:rPr>
          <w:rFonts w:hint="eastAsia" w:ascii="仿宋" w:hAnsi="仿宋" w:eastAsia="仿宋"/>
        </w:rPr>
      </w:pPr>
      <w:r>
        <w:rPr>
          <w:rFonts w:ascii="仿宋" w:hAnsi="仿宋" w:eastAsia="仿宋"/>
        </w:rPr>
        <w:t>各银监局，银监会直接监管的信托公司：</w:t>
      </w:r>
    </w:p>
    <w:p>
      <w:pPr>
        <w:adjustRightInd w:val="0"/>
        <w:snapToGrid w:val="0"/>
        <w:spacing w:line="312" w:lineRule="auto"/>
        <w:ind w:firstLine="420" w:firstLineChars="200"/>
        <w:rPr>
          <w:rFonts w:hint="eastAsia" w:ascii="仿宋" w:hAnsi="仿宋" w:eastAsia="仿宋"/>
        </w:rPr>
      </w:pPr>
      <w:r>
        <w:rPr>
          <w:rFonts w:ascii="仿宋" w:hAnsi="仿宋" w:eastAsia="仿宋"/>
        </w:rPr>
        <w:t>2008年5月12日，四川汶川等地区发生了严重的地震灾害，造成了巨大人员伤亡和财产损失。为帮助和支持灾区重建工作，中国银监会鼓励信托公司依法开展以救济贫困、救助灾民、扶助残疾人，发展医疗卫生、环境保护，以及教育、科技、文化、艺术、体育事业等为目的的公益信托业务。现就信托公司开展公益信托业务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一、信托公司开展公益信托业务，应当严格遵守《中华人民共和国信托法》等法律法规关于公益信托的有关规定，审慎经营，防范风险。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二、信托公司设立公益信托并担任受托人，应当经有关公益事业管理机构批准。未经公益事业管理机构的批准，信托公司不得以公益信托名义开展业务。</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信托公司开展公益信托业务，可以争取公益事业、税收等管理部门的支持。</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三、信托公司设立公益信托，应当订立公益信托文件，并报中国银监会和公益事业管理机构备案。公益信托文件应当至少包括以下内容：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（一）公益信托的名称；</w:t>
      </w:r>
    </w:p>
    <w:p>
      <w:pPr>
        <w:adjustRightInd w:val="0"/>
        <w:snapToGrid w:val="0"/>
        <w:spacing w:line="312" w:lineRule="auto"/>
        <w:ind w:firstLine="420" w:firstLineChars="200"/>
        <w:rPr>
          <w:rFonts w:hint="eastAsia" w:ascii="仿宋" w:hAnsi="仿宋" w:eastAsia="仿宋"/>
        </w:rPr>
      </w:pPr>
      <w:r>
        <w:rPr>
          <w:rFonts w:ascii="仿宋" w:hAnsi="仿宋" w:eastAsia="仿宋"/>
        </w:rPr>
        <w:t>（二）受托人、信托监察人的姓名、名称及其住所；</w:t>
      </w:r>
    </w:p>
    <w:p>
      <w:pPr>
        <w:adjustRightInd w:val="0"/>
        <w:snapToGrid w:val="0"/>
        <w:spacing w:line="312" w:lineRule="auto"/>
        <w:ind w:firstLine="420" w:firstLineChars="200"/>
        <w:rPr>
          <w:rFonts w:hint="eastAsia" w:ascii="仿宋" w:hAnsi="仿宋" w:eastAsia="仿宋"/>
        </w:rPr>
      </w:pPr>
      <w:r>
        <w:rPr>
          <w:rFonts w:ascii="仿宋" w:hAnsi="仿宋" w:eastAsia="仿宋"/>
        </w:rPr>
        <w:t>（三）公益信托目的；</w:t>
      </w:r>
    </w:p>
    <w:p>
      <w:pPr>
        <w:adjustRightInd w:val="0"/>
        <w:snapToGrid w:val="0"/>
        <w:spacing w:line="312" w:lineRule="auto"/>
        <w:ind w:firstLine="420" w:firstLineChars="200"/>
        <w:rPr>
          <w:rFonts w:hint="eastAsia" w:ascii="仿宋" w:hAnsi="仿宋" w:eastAsia="仿宋"/>
        </w:rPr>
      </w:pPr>
      <w:r>
        <w:rPr>
          <w:rFonts w:ascii="仿宋" w:hAnsi="仿宋" w:eastAsia="仿宋"/>
        </w:rPr>
        <w:t>（四）公益信托存续期限；</w:t>
      </w:r>
    </w:p>
    <w:p>
      <w:pPr>
        <w:adjustRightInd w:val="0"/>
        <w:snapToGrid w:val="0"/>
        <w:spacing w:line="312" w:lineRule="auto"/>
        <w:ind w:firstLine="420" w:firstLineChars="200"/>
        <w:rPr>
          <w:rFonts w:hint="eastAsia" w:ascii="仿宋" w:hAnsi="仿宋" w:eastAsia="仿宋"/>
        </w:rPr>
      </w:pPr>
      <w:r>
        <w:rPr>
          <w:rFonts w:ascii="仿宋" w:hAnsi="仿宋" w:eastAsia="仿宋"/>
        </w:rPr>
        <w:t>（五）公益信托财产管理或处分方法；</w:t>
      </w:r>
    </w:p>
    <w:p>
      <w:pPr>
        <w:adjustRightInd w:val="0"/>
        <w:snapToGrid w:val="0"/>
        <w:spacing w:line="312" w:lineRule="auto"/>
        <w:ind w:firstLine="420" w:firstLineChars="200"/>
        <w:rPr>
          <w:rFonts w:hint="eastAsia" w:ascii="仿宋" w:hAnsi="仿宋" w:eastAsia="仿宋"/>
        </w:rPr>
      </w:pPr>
      <w:r>
        <w:rPr>
          <w:rFonts w:ascii="仿宋" w:hAnsi="仿宋" w:eastAsia="仿宋"/>
        </w:rPr>
        <w:t>（六）受益人范围及选定的程序和方法；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（七）信息披露的内容和方式；</w:t>
      </w:r>
    </w:p>
    <w:p>
      <w:pPr>
        <w:adjustRightInd w:val="0"/>
        <w:snapToGrid w:val="0"/>
        <w:spacing w:line="312" w:lineRule="auto"/>
        <w:ind w:firstLine="420" w:firstLineChars="200"/>
        <w:rPr>
          <w:rFonts w:hint="eastAsia" w:ascii="仿宋" w:hAnsi="仿宋" w:eastAsia="仿宋"/>
        </w:rPr>
      </w:pPr>
      <w:r>
        <w:rPr>
          <w:rFonts w:ascii="仿宋" w:hAnsi="仿宋" w:eastAsia="仿宋"/>
        </w:rPr>
        <w:t>（八）受托人管理费、信托监察人报酬的收取标准；</w:t>
      </w:r>
    </w:p>
    <w:p>
      <w:pPr>
        <w:adjustRightInd w:val="0"/>
        <w:snapToGrid w:val="0"/>
        <w:spacing w:line="312" w:lineRule="auto"/>
        <w:ind w:firstLine="420" w:firstLineChars="200"/>
        <w:rPr>
          <w:rFonts w:hint="eastAsia" w:ascii="仿宋" w:hAnsi="仿宋" w:eastAsia="仿宋"/>
        </w:rPr>
      </w:pPr>
      <w:r>
        <w:rPr>
          <w:rFonts w:ascii="仿宋" w:hAnsi="仿宋" w:eastAsia="仿宋"/>
        </w:rPr>
        <w:t>（九）信托终止时信托财产的归属及交付方式。</w:t>
      </w:r>
    </w:p>
    <w:p>
      <w:pPr>
        <w:adjustRightInd w:val="0"/>
        <w:snapToGrid w:val="0"/>
        <w:spacing w:line="312" w:lineRule="auto"/>
        <w:ind w:firstLine="420" w:firstLineChars="200"/>
        <w:rPr>
          <w:rFonts w:hint="eastAsia" w:ascii="仿宋" w:hAnsi="仿宋" w:eastAsia="仿宋"/>
        </w:rPr>
      </w:pPr>
      <w:r>
        <w:rPr>
          <w:rFonts w:ascii="仿宋" w:hAnsi="仿宋" w:eastAsia="仿宋"/>
        </w:rPr>
        <w:t>前款第八项受托人管理费和信托监察人报酬，每年度合计不得高于公益信托财产总额的千分之八。</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四、信托公司设立公益信托，可以通过媒体等方式公开进行推介宣传。公益信托的委托人可以是自然人、机构或者依法成立的其他组织，其数量及交付信托的金额不受限制。</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信托公司应当在商业银行开立公益信托财产专户，并可以向社会公布该专户账号。</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五、信托公司担任公益信托受托人，应当履行下列职责：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（一）依照公益信托文件管理信托财产；</w:t>
      </w:r>
    </w:p>
    <w:p>
      <w:pPr>
        <w:adjustRightInd w:val="0"/>
        <w:snapToGrid w:val="0"/>
        <w:spacing w:line="312" w:lineRule="auto"/>
        <w:ind w:firstLine="420" w:firstLineChars="200"/>
        <w:rPr>
          <w:rFonts w:hint="eastAsia" w:ascii="仿宋" w:hAnsi="仿宋" w:eastAsia="仿宋"/>
        </w:rPr>
      </w:pPr>
      <w:r>
        <w:rPr>
          <w:rFonts w:ascii="仿宋" w:hAnsi="仿宋" w:eastAsia="仿宋"/>
        </w:rPr>
        <w:t>（二）对所管理的不同公益信托财产分别管理、分别记账；</w:t>
      </w:r>
    </w:p>
    <w:p>
      <w:pPr>
        <w:adjustRightInd w:val="0"/>
        <w:snapToGrid w:val="0"/>
        <w:spacing w:line="312" w:lineRule="auto"/>
        <w:ind w:firstLine="420" w:firstLineChars="200"/>
        <w:rPr>
          <w:rFonts w:hint="eastAsia" w:ascii="仿宋" w:hAnsi="仿宋" w:eastAsia="仿宋"/>
        </w:rPr>
      </w:pPr>
      <w:r>
        <w:rPr>
          <w:rFonts w:ascii="仿宋" w:hAnsi="仿宋" w:eastAsia="仿宋"/>
        </w:rPr>
        <w:t>（三）按照公益信托文件约定公平选择受益人，并及时向受益人支付信托利益；</w:t>
      </w:r>
    </w:p>
    <w:p>
      <w:pPr>
        <w:adjustRightInd w:val="0"/>
        <w:snapToGrid w:val="0"/>
        <w:spacing w:line="312" w:lineRule="auto"/>
        <w:ind w:firstLine="420" w:firstLineChars="200"/>
        <w:rPr>
          <w:rFonts w:hint="eastAsia" w:ascii="仿宋" w:hAnsi="仿宋" w:eastAsia="仿宋"/>
        </w:rPr>
      </w:pPr>
      <w:r>
        <w:rPr>
          <w:rFonts w:ascii="仿宋" w:hAnsi="仿宋" w:eastAsia="仿宋"/>
        </w:rPr>
        <w:t>（四）编制公益信托财务会计报告；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（五）按照公益信托文件约定办理与公益信托财产管理业务活动有关的信息披露事项；</w:t>
      </w:r>
    </w:p>
    <w:p>
      <w:pPr>
        <w:adjustRightInd w:val="0"/>
        <w:snapToGrid w:val="0"/>
        <w:spacing w:line="312" w:lineRule="auto"/>
        <w:ind w:firstLine="420" w:firstLineChars="200"/>
        <w:rPr>
          <w:rFonts w:hint="eastAsia" w:ascii="仿宋" w:hAnsi="仿宋" w:eastAsia="仿宋"/>
        </w:rPr>
      </w:pPr>
      <w:r>
        <w:rPr>
          <w:rFonts w:ascii="仿宋" w:hAnsi="仿宋" w:eastAsia="仿宋"/>
        </w:rPr>
        <w:t>（六）保存公益信托财产管理业务活动的记录、账册、报表和其他相关资料；</w:t>
      </w:r>
    </w:p>
    <w:p>
      <w:pPr>
        <w:adjustRightInd w:val="0"/>
        <w:snapToGrid w:val="0"/>
        <w:spacing w:line="312" w:lineRule="auto"/>
        <w:ind w:firstLine="420" w:firstLineChars="200"/>
        <w:rPr>
          <w:rFonts w:hint="eastAsia" w:ascii="仿宋" w:hAnsi="仿宋" w:eastAsia="仿宋"/>
        </w:rPr>
      </w:pPr>
      <w:r>
        <w:rPr>
          <w:rFonts w:ascii="仿宋" w:hAnsi="仿宋" w:eastAsia="仿宋"/>
        </w:rPr>
        <w:t>（七）中国银监会和公益事业管理机构规定的其他职责。</w:t>
      </w:r>
    </w:p>
    <w:p>
      <w:pPr>
        <w:adjustRightInd w:val="0"/>
        <w:snapToGrid w:val="0"/>
        <w:spacing w:line="312" w:lineRule="auto"/>
        <w:ind w:firstLine="420" w:firstLineChars="200"/>
        <w:rPr>
          <w:rFonts w:hint="eastAsia" w:ascii="仿宋" w:hAnsi="仿宋" w:eastAsia="仿宋"/>
        </w:rPr>
      </w:pPr>
      <w:r>
        <w:rPr>
          <w:rFonts w:ascii="仿宋" w:hAnsi="仿宋" w:eastAsia="仿宋"/>
        </w:rPr>
        <w:t>六、信托公司管理的公益信托财产及其收益，应当遵守以下规定：</w:t>
      </w:r>
    </w:p>
    <w:p>
      <w:pPr>
        <w:adjustRightInd w:val="0"/>
        <w:snapToGrid w:val="0"/>
        <w:spacing w:line="312" w:lineRule="auto"/>
        <w:ind w:firstLine="420" w:firstLineChars="200"/>
        <w:rPr>
          <w:rFonts w:hint="eastAsia" w:ascii="仿宋" w:hAnsi="仿宋" w:eastAsia="仿宋"/>
        </w:rPr>
      </w:pPr>
      <w:r>
        <w:rPr>
          <w:rFonts w:ascii="仿宋" w:hAnsi="仿宋" w:eastAsia="仿宋"/>
        </w:rPr>
        <w:t>（一）全部用于公益事业；</w:t>
      </w:r>
    </w:p>
    <w:p>
      <w:pPr>
        <w:adjustRightInd w:val="0"/>
        <w:snapToGrid w:val="0"/>
        <w:spacing w:line="312" w:lineRule="auto"/>
        <w:ind w:firstLine="420" w:firstLineChars="200"/>
        <w:rPr>
          <w:rFonts w:hint="eastAsia" w:ascii="仿宋" w:hAnsi="仿宋" w:eastAsia="仿宋"/>
        </w:rPr>
      </w:pPr>
      <w:r>
        <w:rPr>
          <w:rFonts w:ascii="仿宋" w:hAnsi="仿宋" w:eastAsia="仿宋"/>
        </w:rPr>
        <w:t>（二）不得用于非公益目的；</w:t>
      </w:r>
    </w:p>
    <w:p>
      <w:pPr>
        <w:adjustRightInd w:val="0"/>
        <w:snapToGrid w:val="0"/>
        <w:spacing w:line="312" w:lineRule="auto"/>
        <w:ind w:firstLine="420" w:firstLineChars="200"/>
        <w:rPr>
          <w:rFonts w:hint="eastAsia" w:ascii="仿宋" w:hAnsi="仿宋" w:eastAsia="仿宋"/>
        </w:rPr>
      </w:pPr>
      <w:r>
        <w:rPr>
          <w:rFonts w:ascii="仿宋" w:hAnsi="仿宋" w:eastAsia="仿宋"/>
        </w:rPr>
        <w:t>（三）不得为自己或他人牟取私利；</w:t>
      </w:r>
    </w:p>
    <w:p>
      <w:pPr>
        <w:adjustRightInd w:val="0"/>
        <w:snapToGrid w:val="0"/>
        <w:spacing w:line="312" w:lineRule="auto"/>
        <w:ind w:firstLine="420" w:firstLineChars="200"/>
        <w:rPr>
          <w:rFonts w:hint="eastAsia" w:ascii="仿宋" w:hAnsi="仿宋" w:eastAsia="仿宋"/>
        </w:rPr>
      </w:pPr>
      <w:r>
        <w:rPr>
          <w:rFonts w:ascii="仿宋" w:hAnsi="仿宋" w:eastAsia="仿宋"/>
        </w:rPr>
        <w:t>（四）只能投资于流动性好、变现能力强的国债、政策性金融债及中国银监会允许投资的其他低风险金融产品。</w:t>
      </w:r>
    </w:p>
    <w:p>
      <w:pPr>
        <w:adjustRightInd w:val="0"/>
        <w:snapToGrid w:val="0"/>
        <w:spacing w:line="312" w:lineRule="auto"/>
        <w:ind w:firstLine="420" w:firstLineChars="200"/>
        <w:rPr>
          <w:rFonts w:hint="eastAsia" w:ascii="仿宋" w:hAnsi="仿宋" w:eastAsia="仿宋"/>
        </w:rPr>
      </w:pPr>
      <w:r>
        <w:rPr>
          <w:rFonts w:ascii="仿宋" w:hAnsi="仿宋" w:eastAsia="仿宋"/>
        </w:rPr>
        <w:t>七、信托公司设立并管理公益信托，应当接受公益信托监察人的监察。</w:t>
      </w:r>
    </w:p>
    <w:p>
      <w:pPr>
        <w:adjustRightInd w:val="0"/>
        <w:snapToGrid w:val="0"/>
        <w:spacing w:line="312" w:lineRule="auto"/>
        <w:ind w:firstLine="420" w:firstLineChars="200"/>
        <w:rPr>
          <w:rFonts w:hint="eastAsia" w:ascii="仿宋" w:hAnsi="仿宋" w:eastAsia="仿宋"/>
        </w:rPr>
      </w:pPr>
      <w:r>
        <w:rPr>
          <w:rFonts w:ascii="仿宋" w:hAnsi="仿宋" w:eastAsia="仿宋"/>
        </w:rPr>
        <w:t>每个公益信托均应设置独立的信托监察人，公益信托监察人与信托公司不得有任何关联关系。</w:t>
      </w:r>
    </w:p>
    <w:p>
      <w:pPr>
        <w:adjustRightInd w:val="0"/>
        <w:snapToGrid w:val="0"/>
        <w:spacing w:line="312" w:lineRule="auto"/>
        <w:ind w:firstLine="420" w:firstLineChars="200"/>
        <w:rPr>
          <w:rFonts w:hint="eastAsia" w:ascii="仿宋" w:hAnsi="仿宋" w:eastAsia="仿宋"/>
        </w:rPr>
      </w:pPr>
      <w:r>
        <w:rPr>
          <w:rFonts w:ascii="仿宋" w:hAnsi="仿宋" w:eastAsia="仿宋"/>
        </w:rPr>
        <w:t>八、信托公司应当至少每半年作出公益信托事务处理情况及财产状况报告，经信托监察人认可后，报中国银监会和公益事业管理机构备案，并予以公告。</w:t>
      </w:r>
    </w:p>
    <w:p>
      <w:pPr>
        <w:adjustRightInd w:val="0"/>
        <w:snapToGrid w:val="0"/>
        <w:spacing w:line="312" w:lineRule="auto"/>
        <w:ind w:firstLine="420" w:firstLineChars="200"/>
        <w:rPr>
          <w:rFonts w:hint="eastAsia" w:ascii="仿宋" w:hAnsi="仿宋" w:eastAsia="仿宋"/>
        </w:rPr>
      </w:pPr>
      <w:r>
        <w:rPr>
          <w:rFonts w:ascii="仿宋" w:hAnsi="仿宋" w:eastAsia="仿宋"/>
        </w:rPr>
        <w:t>九、中国银监会和公益事业管理机构有权检查信托公司处理公益信托事务的情况及财产状况。</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二○○八年六月二日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