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50" w:name="_Toc518836171"/>
      <w:bookmarkStart w:id="751" w:name="_Toc19325"/>
      <w:r>
        <w:rPr>
          <w:rFonts w:hint="eastAsia"/>
        </w:rPr>
        <w:t>316</w:t>
      </w:r>
      <w:r>
        <w:t>--</w:t>
      </w:r>
      <w:r>
        <w:rPr>
          <w:rFonts w:hint="eastAsia"/>
        </w:rPr>
        <w:t>中国银监会办公厅关于转发加强信息安全管理体系认证安全管理的通知</w:t>
      </w:r>
      <w:r>
        <w:rPr>
          <w:rFonts w:hint="eastAsia"/>
        </w:rPr>
        <w:br w:type="textWrapping"/>
      </w:r>
      <w:r>
        <w:rPr>
          <w:rFonts w:hint="eastAsia"/>
        </w:rPr>
        <w:t>（银监办发〔2010〕294号）</w:t>
      </w:r>
      <w:bookmarkEnd w:id="750"/>
      <w:bookmarkEnd w:id="751"/>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现将工业和信息化部等六部委联合印发的《关于加强信息安全管理体系认证安全管理的通知》（工信部联协〔2010〕394号，以下简称《通知》）转发给你们，并就有关事项通知如下：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一、各银行业金融机构要从保护国家经济安全和利益高度出发，构建全面信息科技风险管理体系，做好信息安全管理体系认证的安全管理工作，加强敏感信息保护。</w:t>
      </w:r>
    </w:p>
    <w:p>
      <w:pPr>
        <w:adjustRightInd w:val="0"/>
        <w:snapToGrid w:val="0"/>
        <w:spacing w:line="312" w:lineRule="auto"/>
        <w:ind w:firstLine="420" w:firstLineChars="200"/>
        <w:rPr>
          <w:rFonts w:hint="eastAsia" w:ascii="仿宋" w:hAnsi="仿宋" w:eastAsia="仿宋"/>
        </w:rPr>
      </w:pPr>
      <w:r>
        <w:rPr>
          <w:rFonts w:ascii="仿宋" w:hAnsi="仿宋" w:eastAsia="仿宋"/>
        </w:rPr>
        <w:t>二、各银行业金融机构需申请信息安全管理体系认证的，应按照监管隶属关系，向银监会或当地银监局提出申请，并提交相关申请材料，包括认证目的、范围、认证机构信息、认证过程中的安全管理措施等。</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请各银监局将本通知转发至辖内银监分局和法人银行业金融机构。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二○一○年九月二十六日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