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830" w:name="_Toc20123"/>
      <w:bookmarkStart w:id="831" w:name="_Toc518836211"/>
      <w:r>
        <w:rPr>
          <w:rFonts w:hint="eastAsia"/>
        </w:rPr>
        <w:t>356</w:t>
      </w:r>
      <w:r>
        <w:t>--</w:t>
      </w:r>
      <w:r>
        <w:rPr>
          <w:rFonts w:hint="eastAsia"/>
        </w:rPr>
        <w:t>中国银监会办公厅</w:t>
      </w:r>
      <w:r>
        <w:br w:type="textWrapping"/>
      </w:r>
      <w:r>
        <w:rPr>
          <w:rFonts w:hint="eastAsia"/>
        </w:rPr>
        <w:t>关于引导农村合作金融机构规范有效运用存差资金的意见</w:t>
      </w:r>
      <w:r>
        <w:br w:type="textWrapping"/>
      </w:r>
      <w:r>
        <w:rPr>
          <w:rFonts w:hint="eastAsia"/>
        </w:rPr>
        <w:t>（银监办发〔2013〕168号）</w:t>
      </w:r>
      <w:bookmarkEnd w:id="830"/>
      <w:bookmarkEnd w:id="831"/>
    </w:p>
    <w:p>
      <w:pPr>
        <w:widowControl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szCs w:val="21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各银监局，各省级农村信用联社，北京、天津、上海、重庆、宁夏黄河、深圳农村商业银行：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近年来，农村合作金融机构存差资金规模逐年扩大，资金业务对经营发展的影响日益明显。为引导规范存差资金运用，有效防控风险，提高竞争力，现提出以下意见。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一、牢固做实涉农信贷主业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农村合作金融机构要统筹资金运用，强化信贷业务作为立身之本，坚守市场定位，持续深耕“三农”和中小微信贷市场，加大信贷投放，优化信贷结构，创新产品服务，不断提高有效信贷需求满足度，</w:t>
      </w:r>
      <w:r>
        <w:rPr>
          <w:rFonts w:ascii="仿宋" w:hAnsi="仿宋" w:eastAsia="仿宋"/>
        </w:rPr>
        <w:t>全面提升支农服务质效，稳固和维护好市场基础、客户基础和资</w:t>
      </w:r>
      <w:r>
        <w:rPr>
          <w:rFonts w:hint="eastAsia" w:ascii="仿宋" w:hAnsi="仿宋" w:eastAsia="仿宋"/>
        </w:rPr>
        <w:t>金来源基础。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二、有效实施资产负债综合管理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农村合作金融机构要积极应对利率市场化与金融脱媒趋势挑战．在做实信贷主业基础上，着力提高金融市场适应性和同业竞争力，</w:t>
      </w:r>
      <w:r>
        <w:rPr>
          <w:rFonts w:ascii="仿宋" w:hAnsi="仿宋" w:eastAsia="仿宋"/>
        </w:rPr>
        <w:t>合理有效运用存差资金，积极满足客户需求。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要提高资产负债综合管理水平，</w:t>
      </w:r>
      <w:r>
        <w:rPr>
          <w:rFonts w:ascii="仿宋" w:hAnsi="仿宋" w:eastAsia="仿宋"/>
        </w:rPr>
        <w:t>统筹流动性管理与盈利性要求，确保负债来源与资金运用能</w:t>
      </w:r>
      <w:r>
        <w:rPr>
          <w:rFonts w:hint="eastAsia" w:ascii="仿宋" w:hAnsi="仿宋" w:eastAsia="仿宋"/>
        </w:rPr>
        <w:t>力相匹配，扭转过去不汁成本、不顾运用盲目吸收存款的粗放发展模式，</w:t>
      </w:r>
      <w:r>
        <w:rPr>
          <w:rFonts w:ascii="仿宋" w:hAnsi="仿宋" w:eastAsia="仿宋"/>
        </w:rPr>
        <w:t>、要多渠道增加综</w:t>
      </w:r>
      <w:r>
        <w:rPr>
          <w:rFonts w:hint="eastAsia" w:ascii="仿宋" w:hAnsi="仿宋" w:eastAsia="仿宋"/>
        </w:rPr>
        <w:t>合收益，促进收入结构多元化。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三、增强资金业务风险管控能力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存差资金运用要坚持制度先行，完善内控，强化风险管理，切实防范资金业务风险。一是要严格遵守资金市场交易规则，</w:t>
      </w:r>
      <w:r>
        <w:rPr>
          <w:rFonts w:ascii="仿宋" w:hAnsi="仿宋" w:eastAsia="仿宋"/>
        </w:rPr>
        <w:t>健全相关制度办法和操作规程，有效管理市场风险、流</w:t>
      </w:r>
      <w:r>
        <w:rPr>
          <w:rFonts w:hint="eastAsia" w:ascii="仿宋" w:hAnsi="仿宋" w:eastAsia="仿宋"/>
        </w:rPr>
        <w:t>动性风险与信用风险，</w:t>
      </w:r>
      <w:r>
        <w:rPr>
          <w:rFonts w:ascii="仿宋" w:hAnsi="仿宋" w:eastAsia="仿宋"/>
        </w:rPr>
        <w:t>确保所有业务均有制度办法覆盖，不得先办业务后定办法。二是强化</w:t>
      </w:r>
      <w:r>
        <w:rPr>
          <w:rFonts w:hint="eastAsia" w:ascii="仿宋" w:hAnsi="仿宋" w:eastAsia="仿宋"/>
        </w:rPr>
        <w:t>内控流程管理，严格授权审批，健全决策、交易、资金划转与事后监督程序，确保前中后台分离，</w:t>
      </w:r>
      <w:r>
        <w:rPr>
          <w:rFonts w:ascii="仿宋" w:hAnsi="仿宋" w:eastAsia="仿宋"/>
        </w:rPr>
        <w:t>形成有效监督制约机制。三是控制风险敞口总量，合理选择业务品种，科学设定交易</w:t>
      </w:r>
      <w:r>
        <w:rPr>
          <w:rFonts w:hint="eastAsia" w:ascii="仿宋" w:hAnsi="仿宋" w:eastAsia="仿宋"/>
        </w:rPr>
        <w:t>限额，控制资金业务杠杆率，</w:t>
      </w:r>
      <w:r>
        <w:rPr>
          <w:rFonts w:ascii="仿宋" w:hAnsi="仿宋" w:eastAsia="仿宋"/>
        </w:rPr>
        <w:t>加强资本约束，防范盲目追求收益、不顾风险的投资交易行为。</w:t>
      </w:r>
      <w:r>
        <w:rPr>
          <w:rFonts w:hint="eastAsia" w:ascii="仿宋" w:hAnsi="仿宋" w:eastAsia="仿宋"/>
        </w:rPr>
        <w:t>四是强化重要环节风险控制和内外部审计，实施异常交易监测，严控道德风险与操作风险。五是引进和培养资金业务专业人才，</w:t>
      </w:r>
      <w:r>
        <w:rPr>
          <w:rFonts w:ascii="仿宋" w:hAnsi="仿宋" w:eastAsia="仿宋"/>
        </w:rPr>
        <w:t>健全信息科技系统后台支持，全方位提高资金运用和风</w:t>
      </w:r>
      <w:r>
        <w:rPr>
          <w:rFonts w:hint="eastAsia" w:ascii="仿宋" w:hAnsi="仿宋" w:eastAsia="仿宋"/>
        </w:rPr>
        <w:t>险管理水平。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四、综合提高存差资金运用效率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农村合作金融机构要着力培育存差资金自主运用能力，提高运用效率。内控管理和风险承担能力强的机构，</w:t>
      </w:r>
      <w:r>
        <w:rPr>
          <w:rFonts w:ascii="仿宋" w:hAnsi="仿宋" w:eastAsia="仿宋"/>
        </w:rPr>
        <w:t>可稳妥拓宽业务种类，逐步培育适应市场环境的综合服务模式。为</w:t>
      </w:r>
      <w:r>
        <w:rPr>
          <w:rFonts w:hint="eastAsia" w:ascii="仿宋" w:hAnsi="仿宋" w:eastAsia="仿宋"/>
        </w:rPr>
        <w:t>解决部分机构资金体量小、难以平等有效参与资金市场问题，</w:t>
      </w:r>
      <w:r>
        <w:rPr>
          <w:rFonts w:ascii="仿宋" w:hAnsi="仿宋" w:eastAsia="仿宋"/>
        </w:rPr>
        <w:t>省联社可提供服务支持，同时</w:t>
      </w:r>
      <w:r>
        <w:rPr>
          <w:rFonts w:hint="eastAsia" w:ascii="仿宋" w:hAnsi="仿宋" w:eastAsia="仿宋"/>
        </w:rPr>
        <w:t>鼓励资质良好、资金业务经验丰富的农村合作金融机构牵头提供资金运用服务．</w:t>
      </w:r>
      <w:r>
        <w:rPr>
          <w:rFonts w:ascii="仿宋" w:hAnsi="仿宋" w:eastAsia="仿宋"/>
        </w:rPr>
        <w:t>发挥资金集</w:t>
      </w:r>
      <w:r>
        <w:rPr>
          <w:rFonts w:hint="eastAsia" w:ascii="仿宋" w:hAnsi="仿宋" w:eastAsia="仿宋"/>
        </w:rPr>
        <w:t>约化和服努专业化优势。系统内资金服务要遵循“平等自愿、市场运作、风险可控”原则，以低风险业务为主，</w:t>
      </w:r>
      <w:r>
        <w:rPr>
          <w:rFonts w:ascii="仿宋" w:hAnsi="仿宋" w:eastAsia="仿宋"/>
        </w:rPr>
        <w:t>突出信息渠道作用，坚持合作互惠，利率报价和服务收益应向法人机构</w:t>
      </w:r>
      <w:r>
        <w:rPr>
          <w:rFonts w:hint="eastAsia" w:ascii="仿宋" w:hAnsi="仿宋" w:eastAsia="仿宋"/>
        </w:rPr>
        <w:t>倾斜。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五、严格规范省联社资金运用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</w:rPr>
        <w:t>省联社要尊重法人机构经营独立性，严禁以行政手段集中法人机构资金，严禁强制上存明显超出实际需求的清算保证金。省联社受法人机构委托运用资金，要确保依法合规，稳妥审慎，不得超出规定范围。要加强资金业务风险管控，合理选择业务品种和交易对手，严格对品种与交易对手的授信审批，</w:t>
      </w:r>
      <w:r>
        <w:rPr>
          <w:rFonts w:ascii="仿宋" w:hAnsi="仿宋" w:eastAsia="仿宋"/>
        </w:rPr>
        <w:t>加强重点岗位、重点人员行为监控，防止违规行为，确</w:t>
      </w:r>
      <w:r>
        <w:rPr>
          <w:rFonts w:hint="eastAsia" w:ascii="仿宋" w:hAnsi="仿宋" w:eastAsia="仿宋"/>
        </w:rPr>
        <w:t>保资金安全。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/>
          <w:b/>
        </w:rPr>
      </w:pPr>
      <w:r>
        <w:rPr>
          <w:rFonts w:hint="eastAsia" w:ascii="仿宋" w:hAnsi="仿宋" w:eastAsia="仿宋"/>
          <w:b/>
        </w:rPr>
        <w:t>六、强化分类监管引导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各级监管部门要增强监管主动性和前瞻性，将存差资金运用纳入持续监管重点范畴。一是引导把握好信贷投放与资金业务、投资业务、存放同业的关系。对于信贷投放力度不足、不到监管要求的机构，</w:t>
      </w:r>
      <w:r>
        <w:rPr>
          <w:rFonts w:ascii="仿宋" w:hAnsi="仿宋" w:eastAsia="仿宋"/>
        </w:rPr>
        <w:t>要督促加大涉农信贷投放，限制发展资金业务和对外投资。二是加</w:t>
      </w:r>
      <w:r>
        <w:rPr>
          <w:rFonts w:hint="eastAsia" w:ascii="仿宋" w:hAnsi="仿宋" w:eastAsia="仿宋"/>
        </w:rPr>
        <w:t>强法人机构分类监管．</w:t>
      </w:r>
      <w:r>
        <w:rPr>
          <w:rFonts w:ascii="仿宋" w:hAnsi="仿宋" w:eastAsia="仿宋"/>
        </w:rPr>
        <w:t>对监管评级较好、内控管理水平较高的，支持其自主参与金融市场和</w:t>
      </w:r>
      <w:r>
        <w:rPr>
          <w:rFonts w:hint="eastAsia" w:ascii="仿宋" w:hAnsi="仿宋" w:eastAsia="仿宋"/>
        </w:rPr>
        <w:t>开展创新。对于内控管理能力不足的，要强化风险监管，存差资金坚持以低风险业务为主。三是做好资金业务风险提示与检查。要完善各类风险监管分析评估方法，</w:t>
      </w:r>
      <w:r>
        <w:rPr>
          <w:rFonts w:ascii="仿宋" w:hAnsi="仿宋" w:eastAsia="仿宋"/>
        </w:rPr>
        <w:t>全面掌握机构交易</w:t>
      </w:r>
      <w:r>
        <w:rPr>
          <w:rFonts w:hint="eastAsia" w:ascii="仿宋" w:hAnsi="仿宋" w:eastAsia="仿宋"/>
        </w:rPr>
        <w:t>杠杆倍数、浮动盈亏及流动性情况，</w:t>
      </w:r>
      <w:r>
        <w:rPr>
          <w:rFonts w:ascii="仿宋" w:hAnsi="仿宋" w:eastAsia="仿宋"/>
        </w:rPr>
        <w:t>及时提示风险：有针对性地开展资金业务现场检查，严</w:t>
      </w:r>
      <w:r>
        <w:rPr>
          <w:rFonts w:hint="eastAsia" w:ascii="仿宋" w:hAnsi="仿宋" w:eastAsia="仿宋"/>
        </w:rPr>
        <w:t>肃查处违规行为，确保资金业务稳健运行。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二〇一</w:t>
      </w:r>
      <w:r>
        <w:rPr>
          <w:rFonts w:ascii="仿宋" w:hAnsi="仿宋" w:eastAsia="仿宋"/>
        </w:rPr>
        <w:t>三年六月十七日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