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5" w:name="_Toc518835887"/>
      <w:bookmarkStart w:id="126" w:name="_Toc20117"/>
      <w:bookmarkStart w:id="127" w:name="_Hlk160809647"/>
      <w:bookmarkStart w:id="128" w:name="_Hlk160809677"/>
      <w:r>
        <w:rPr>
          <w:rFonts w:hint="eastAsia"/>
        </w:rPr>
        <w:t>40</w:t>
      </w:r>
      <w:r>
        <w:t>--</w:t>
      </w:r>
      <w:r>
        <w:rPr>
          <w:rFonts w:hint="eastAsia"/>
        </w:rPr>
        <w:t>中国银行业监督管理委员会</w:t>
      </w:r>
      <w:r>
        <w:br w:type="textWrapping"/>
      </w:r>
      <w:r>
        <w:rPr>
          <w:rFonts w:hint="eastAsia"/>
        </w:rPr>
        <w:t>关于落实《内地与香港关于建立更紧密经贸关系的安排》的通知</w:t>
      </w:r>
      <w:r>
        <w:rPr>
          <w:rFonts w:hint="eastAsia"/>
        </w:rPr>
        <w:br w:type="textWrapping"/>
      </w:r>
      <w:r>
        <w:rPr>
          <w:rFonts w:hint="eastAsia"/>
        </w:rPr>
        <w:t>（银监通〔2003〕22号）</w:t>
      </w:r>
      <w:bookmarkEnd w:id="125"/>
      <w:bookmarkEnd w:id="126"/>
    </w:p>
    <w:p>
      <w:pPr>
        <w:adjustRightInd w:val="0"/>
        <w:snapToGrid w:val="0"/>
        <w:spacing w:line="312" w:lineRule="auto"/>
        <w:rPr>
          <w:rFonts w:hint="eastAsia" w:ascii="仿宋" w:hAnsi="仿宋" w:eastAsia="仿宋"/>
        </w:rPr>
      </w:pPr>
      <w:r>
        <w:rPr>
          <w:rFonts w:ascii="仿宋" w:hAnsi="仿宋" w:eastAsia="仿宋"/>
        </w:rPr>
        <w:t>各省、自治区、直辖市银监局（筹），大连、宁波、厦门、青岛、深圳市银监局（筹）：</w:t>
      </w:r>
    </w:p>
    <w:p>
      <w:pPr>
        <w:adjustRightInd w:val="0"/>
        <w:snapToGrid w:val="0"/>
        <w:spacing w:line="312" w:lineRule="auto"/>
        <w:ind w:firstLine="420" w:firstLineChars="200"/>
        <w:rPr>
          <w:rFonts w:hint="eastAsia" w:ascii="仿宋" w:hAnsi="仿宋" w:eastAsia="仿宋"/>
        </w:rPr>
      </w:pPr>
      <w:r>
        <w:rPr>
          <w:rFonts w:ascii="仿宋" w:hAnsi="仿宋" w:eastAsia="仿宋"/>
        </w:rPr>
        <w:t>《内地与香港关于建立更紧密经贸关系的安排》》（下称《安排》）于2003年6月29日在香港签署，当日生效。《安排》将使内地与香港在实现共同繁荣与发展、振兴中华民族的道路上迈出新的步伐。为做好《安排》的实施工作，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一、根据《安排》及其附件，内地银行业将采取七项措施支持香港银行业，其中四项涉及双方合作，三项涉及香港银行在内地的市场准入。具体内容包括：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（一）内地支持国有独资商业银行及部分股份制商业银行将其国际资金外汇交易中心移至香港；</w:t>
      </w:r>
    </w:p>
    <w:p>
      <w:pPr>
        <w:adjustRightInd w:val="0"/>
        <w:snapToGrid w:val="0"/>
        <w:spacing w:line="312" w:lineRule="auto"/>
        <w:ind w:firstLine="420" w:firstLineChars="200"/>
        <w:rPr>
          <w:rFonts w:hint="eastAsia" w:ascii="仿宋" w:hAnsi="仿宋" w:eastAsia="仿宋"/>
        </w:rPr>
      </w:pPr>
      <w:r>
        <w:rPr>
          <w:rFonts w:ascii="仿宋" w:hAnsi="仿宋" w:eastAsia="仿宋"/>
        </w:rPr>
        <w:t>（二）支持内地银行在香港以收购方式发展网络和业务活动；</w:t>
      </w:r>
    </w:p>
    <w:p>
      <w:pPr>
        <w:adjustRightInd w:val="0"/>
        <w:snapToGrid w:val="0"/>
        <w:spacing w:line="312" w:lineRule="auto"/>
        <w:ind w:firstLine="420" w:firstLineChars="200"/>
        <w:rPr>
          <w:rFonts w:hint="eastAsia" w:ascii="仿宋" w:hAnsi="仿宋" w:eastAsia="仿宋"/>
        </w:rPr>
      </w:pPr>
      <w:r>
        <w:rPr>
          <w:rFonts w:ascii="仿宋" w:hAnsi="仿宋" w:eastAsia="仿宋"/>
        </w:rPr>
        <w:t>（三）内地在金融改革、重组和发展中支持充分利用和发挥香港金融中介机构的作用；</w:t>
      </w:r>
    </w:p>
    <w:p>
      <w:pPr>
        <w:adjustRightInd w:val="0"/>
        <w:snapToGrid w:val="0"/>
        <w:spacing w:line="312" w:lineRule="auto"/>
        <w:ind w:firstLine="420" w:firstLineChars="200"/>
        <w:rPr>
          <w:rFonts w:hint="eastAsia" w:ascii="仿宋" w:hAnsi="仿宋" w:eastAsia="仿宋"/>
        </w:rPr>
      </w:pPr>
      <w:r>
        <w:rPr>
          <w:rFonts w:ascii="仿宋" w:hAnsi="仿宋" w:eastAsia="仿宋"/>
        </w:rPr>
        <w:t>（四）双方加强金融监管部门的合作和信息共享；</w:t>
      </w:r>
    </w:p>
    <w:p>
      <w:pPr>
        <w:adjustRightInd w:val="0"/>
        <w:snapToGrid w:val="0"/>
        <w:spacing w:line="312" w:lineRule="auto"/>
        <w:ind w:firstLine="420" w:firstLineChars="200"/>
        <w:rPr>
          <w:rFonts w:hint="eastAsia" w:ascii="仿宋" w:hAnsi="仿宋" w:eastAsia="仿宋"/>
        </w:rPr>
      </w:pPr>
      <w:r>
        <w:rPr>
          <w:rFonts w:ascii="仿宋" w:hAnsi="仿宋" w:eastAsia="仿宋"/>
        </w:rPr>
        <w:t>（五）降低香港银行和财务公司进入内地市场的资产规模要求：将设立分行和设立法人机构的资产规模要求同时降至60亿美元。银行可选择设立分行或法人机构，财务公司只可设立法人机构；</w:t>
      </w:r>
    </w:p>
    <w:p>
      <w:pPr>
        <w:adjustRightInd w:val="0"/>
        <w:snapToGrid w:val="0"/>
        <w:spacing w:line="312" w:lineRule="auto"/>
        <w:ind w:firstLine="420" w:firstLineChars="200"/>
        <w:rPr>
          <w:rFonts w:hint="eastAsia" w:ascii="仿宋" w:hAnsi="仿宋" w:eastAsia="仿宋"/>
        </w:rPr>
      </w:pPr>
      <w:r>
        <w:rPr>
          <w:rFonts w:ascii="仿宋" w:hAnsi="仿宋" w:eastAsia="仿宋"/>
        </w:rPr>
        <w:t>（六）香港银行在内地设立中外合资银行或中外合资财务公司，或香港财务公司在内地设立中外合资财务公司无需先设立代表机构；</w:t>
      </w:r>
    </w:p>
    <w:p>
      <w:pPr>
        <w:adjustRightInd w:val="0"/>
        <w:snapToGrid w:val="0"/>
        <w:spacing w:line="312" w:lineRule="auto"/>
        <w:ind w:firstLine="420" w:firstLineChars="200"/>
        <w:rPr>
          <w:rFonts w:hint="eastAsia" w:ascii="仿宋" w:hAnsi="仿宋" w:eastAsia="仿宋"/>
        </w:rPr>
      </w:pPr>
      <w:r>
        <w:rPr>
          <w:rFonts w:ascii="仿宋" w:hAnsi="仿宋" w:eastAsia="仿宋"/>
        </w:rPr>
        <w:t>（七）降低香港银行内地分行申请经营人民币业务的资格条件：将须在内地开业3年以上的要求降为开业2年以上；在审查有关盈利性资格时，改内地单家分行考核为多家分行整体考核。</w:t>
      </w:r>
    </w:p>
    <w:p>
      <w:pPr>
        <w:adjustRightInd w:val="0"/>
        <w:snapToGrid w:val="0"/>
        <w:spacing w:line="312" w:lineRule="auto"/>
        <w:ind w:firstLine="420" w:firstLineChars="200"/>
        <w:rPr>
          <w:rFonts w:hint="eastAsia" w:ascii="仿宋" w:hAnsi="仿宋" w:eastAsia="仿宋"/>
        </w:rPr>
      </w:pPr>
      <w:r>
        <w:rPr>
          <w:rFonts w:ascii="仿宋" w:hAnsi="仿宋" w:eastAsia="仿宋"/>
        </w:rPr>
        <w:t>根据《安排》附件4，即《关于内地和香港相互开放服务贸易领域的磋商纪要》，上述第（五）、（六）、（七）项措施自2004年1月1日起实施。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二、请各银监局和分局认真学习和掌握本通知</w:t>
      </w:r>
      <w:r>
        <w:rPr>
          <w:rFonts w:ascii="仿宋" w:hAnsi="仿宋" w:eastAsia="仿宋"/>
        </w:rPr>
        <w:br w:type="textWrapping"/>
      </w:r>
      <w:r>
        <w:rPr>
          <w:rFonts w:ascii="仿宋" w:hAnsi="仿宋" w:eastAsia="仿宋"/>
        </w:rPr>
        <w:t>精神，并贯彻落实。同时，要做好政策宣传和咨询工作，及时向银监会反映工作中遇到的问题及各方反应和意见。</w:t>
      </w:r>
    </w:p>
    <w:p>
      <w:pPr>
        <w:adjustRightInd w:val="0"/>
        <w:snapToGrid w:val="0"/>
        <w:spacing w:line="312" w:lineRule="auto"/>
        <w:ind w:firstLine="420" w:firstLineChars="200"/>
        <w:rPr>
          <w:rFonts w:hint="eastAsia" w:ascii="仿宋" w:hAnsi="仿宋" w:eastAsia="仿宋"/>
        </w:rPr>
      </w:pPr>
      <w:r>
        <w:rPr>
          <w:rFonts w:ascii="仿宋" w:hAnsi="仿宋" w:eastAsia="仿宋"/>
        </w:rPr>
        <w:t>三、对香港银行按照相关法规和《安排》规定的条件提出的设立机构和经营人民币业务申请，各银监局和分局现在即可接受，按法规规定程序审查后报银监会。</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