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9" w:name="_Toc18728"/>
      <w:bookmarkStart w:id="130" w:name="_Toc518835888"/>
      <w:bookmarkStart w:id="131" w:name="_Hlk160809705"/>
      <w:r>
        <w:rPr>
          <w:rFonts w:hint="eastAsia"/>
        </w:rPr>
        <w:t>41</w:t>
      </w:r>
      <w:r>
        <w:t>--</w:t>
      </w:r>
      <w:r>
        <w:rPr>
          <w:rFonts w:hint="eastAsia"/>
        </w:rPr>
        <w:t>中国银行业监督管理委员会</w:t>
      </w:r>
      <w:r>
        <w:br w:type="textWrapping"/>
      </w:r>
      <w:r>
        <w:rPr>
          <w:rFonts w:hint="eastAsia"/>
        </w:rPr>
        <w:t>关于加大境外金融机构在华从事非法金融活动查处力度的通知</w:t>
      </w:r>
      <w:r>
        <w:rPr>
          <w:rFonts w:hint="eastAsia"/>
        </w:rPr>
        <w:br w:type="textWrapping"/>
      </w:r>
      <w:r>
        <w:rPr>
          <w:rFonts w:hint="eastAsia"/>
        </w:rPr>
        <w:t>（银监通〔2004〕81号）</w:t>
      </w:r>
      <w:bookmarkEnd w:id="129"/>
      <w:bookmarkEnd w:id="130"/>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据有关方面反映，近来部分境外金融机构直接或间接通过包括外国银行分行在内的在华金融机构从事非法金融活动，包括向中国居民非法推销境外基金产品等。这些非法金融活动有可能扰乱我国金融秩序，损害消费者利益。请各银监局密切关注境外金融机构非法从事金融活动的动向，加大对本辖区内非法金融活动的查处力度，如发现相关情况，应及时处理并上报银监会。银监会将会同有关部门对违法违规行为严肃查处。</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请各银监局将此通知</w:t>
      </w:r>
      <w:r>
        <w:rPr>
          <w:rFonts w:ascii="仿宋" w:hAnsi="仿宋" w:eastAsia="仿宋"/>
        </w:rPr>
        <w:br w:type="textWrapping"/>
      </w:r>
      <w:r>
        <w:rPr>
          <w:rFonts w:ascii="仿宋" w:hAnsi="仿宋" w:eastAsia="仿宋"/>
        </w:rPr>
        <w:t>转发本辖区内各银监分局。同时，将此情况通报本辖区内外资法人机构、外国银行分行和代表处，强调外资银行应依法开展业务，一旦遇到异常情况，应主动向有关监管部门反映。</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二○○四年八月六</w:t>
      </w:r>
      <w:bookmarkEnd w:id="131"/>
      <w:r>
        <w:rPr>
          <w:rFonts w:ascii="仿宋" w:hAnsi="仿宋" w:eastAsia="仿宋"/>
        </w:rPr>
        <w:t>日</w:t>
      </w:r>
      <w:bookmarkEnd w:id="128"/>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