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948" w:name="_Toc29493"/>
      <w:bookmarkStart w:id="949" w:name="_Toc518836269"/>
      <w:r>
        <w:rPr>
          <w:rFonts w:hint="eastAsia"/>
        </w:rPr>
        <w:t>412</w:t>
      </w:r>
      <w:r>
        <w:t>--</w:t>
      </w:r>
      <w:r>
        <w:rPr>
          <w:rFonts w:hint="eastAsia"/>
        </w:rPr>
        <w:t>中国银监会办公厅关于资本管理高级方法</w:t>
      </w:r>
      <w:r>
        <w:br w:type="textWrapping"/>
      </w:r>
      <w:r>
        <w:rPr>
          <w:rFonts w:hint="eastAsia"/>
        </w:rPr>
        <w:t>并行期资本底线调整系数设置有关事项的通知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（银监办发〔2015〕23号）</w:t>
      </w:r>
      <w:bookmarkEnd w:id="948"/>
      <w:bookmarkEnd w:id="949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各银监局，国家开发银行，各国有商业银行、股份制商业银行，邮政储蓄银行：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根据《商业银行资本管理办法（试行）》（中国银监会令2012年第1号）、《中国银监会关于印发商业银行资本监管配套政策文件的通知》（银监发[2013]33号）有关规定，现就资本管理（计量）高级方法并行期资本底线调整系数设置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2014年获核准实施资本管理（计量）高级方法的商业银行，2015年（1月1日至12月31日，下同）执行95％的调整系数，2016年执行90％的调整系数，2017年及以后均执行80％的调整系数。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今后获核准实施资本管理（计量）高级方法的商业银行，其资本底线调整系数按照《商业银行资本管理办法（试行）》、相关配套政策文件及本通知要求执行。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中国银行业监督管理委员会办公厅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2015年1月30日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