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70" w:name="_Toc518836280"/>
      <w:bookmarkStart w:id="971" w:name="_Toc32690"/>
      <w:r>
        <w:rPr>
          <w:rFonts w:hint="eastAsia"/>
        </w:rPr>
        <w:t>423</w:t>
      </w:r>
      <w:r>
        <w:t>--</w:t>
      </w:r>
      <w:r>
        <w:rPr>
          <w:rFonts w:hint="eastAsia"/>
        </w:rPr>
        <w:t>中国银监会办公厅关于印发行政许可事项申请材料目录及格式要求的通知</w:t>
      </w:r>
      <w:r>
        <w:rPr>
          <w:rFonts w:hint="eastAsia"/>
        </w:rPr>
        <w:br w:type="textWrapping"/>
      </w:r>
      <w:r>
        <w:rPr>
          <w:rFonts w:hint="eastAsia"/>
        </w:rPr>
        <w:t>（银监办发〔2015〕118号）</w:t>
      </w:r>
      <w:bookmarkEnd w:id="970"/>
      <w:r>
        <w:rPr>
          <w:rStyle w:val="54"/>
          <w:rFonts w:hint="eastAsia"/>
        </w:rPr>
        <w:footnoteReference w:id="57"/>
      </w:r>
      <w:bookmarkEnd w:id="971"/>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各银监局，各政策性银行、大型银行、股份制银行、邮储银行，外资银行，金融资产管理公司，其他会管金融金融机构：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中国银监会中资商业银行行政许可事项实施办法》、《中国银监会农村中小金融机构行政许可事项实施办法》、《中国银监会外资银行行政许可事项实施办法》、《中国银监会信托公司行政许可事项实施办法》、《中国银监会非银行金融机构行政许可事项实施办法》（以下简称五部许可规章）已于2015年6月5日印发。现将与之相配套的行政许可事项申请材料目录及格式要求（以下简称目录）印发给你们，并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一、目录是配合五部许可规章实施的规范性文件。自发布之日起，各类行政许可事项相关申请人应按目录要求提供申请材料。</w:t>
      </w:r>
    </w:p>
    <w:p>
      <w:pPr>
        <w:adjustRightInd w:val="0"/>
        <w:snapToGrid w:val="0"/>
        <w:spacing w:line="312" w:lineRule="auto"/>
        <w:ind w:firstLine="420" w:firstLineChars="200"/>
        <w:rPr>
          <w:rFonts w:hint="eastAsia" w:ascii="仿宋" w:hAnsi="仿宋" w:eastAsia="仿宋"/>
        </w:rPr>
      </w:pPr>
      <w:r>
        <w:rPr>
          <w:rFonts w:ascii="仿宋" w:hAnsi="仿宋" w:eastAsia="仿宋"/>
        </w:rPr>
        <w:t>二、银监会将根据银行业金融机构改革发展情况及监管工作需要适时对目录进行调整和完善，调整和完善后的目录将通过银监会网站对外公布。</w:t>
      </w:r>
    </w:p>
    <w:p>
      <w:pPr>
        <w:adjustRightInd w:val="0"/>
        <w:snapToGrid w:val="0"/>
        <w:spacing w:line="312" w:lineRule="auto"/>
        <w:ind w:firstLine="420" w:firstLineChars="200"/>
        <w:rPr>
          <w:rFonts w:hint="eastAsia" w:ascii="仿宋" w:hAnsi="仿宋" w:eastAsia="仿宋"/>
        </w:rPr>
      </w:pPr>
      <w:r>
        <w:rPr>
          <w:rFonts w:ascii="仿宋" w:hAnsi="仿宋" w:eastAsia="仿宋"/>
        </w:rPr>
        <w:t>三、本通知印发前有关行政许可事项申请材料目录及格式要求的规定与本通知目录不一致的，按照本通知执行。</w:t>
      </w:r>
    </w:p>
    <w:p>
      <w:pPr>
        <w:adjustRightInd w:val="0"/>
        <w:snapToGrid w:val="0"/>
        <w:spacing w:line="312" w:lineRule="auto"/>
        <w:ind w:firstLine="420" w:firstLineChars="200"/>
        <w:rPr>
          <w:rFonts w:hint="eastAsia" w:ascii="仿宋" w:hAnsi="仿宋" w:eastAsia="仿宋"/>
        </w:rPr>
      </w:pPr>
      <w:r>
        <w:rPr>
          <w:rFonts w:ascii="仿宋" w:hAnsi="仿宋" w:eastAsia="仿宋"/>
          <w:strike/>
        </w:rPr>
        <w:t>附件1：中资商业银行行政许可事项申请材料目录及格式要求（2015年版）</w:t>
      </w:r>
      <w:r>
        <w:rPr>
          <w:rStyle w:val="54"/>
          <w:rFonts w:ascii="仿宋" w:hAnsi="仿宋" w:eastAsia="仿宋"/>
        </w:rPr>
        <w:footnoteReference w:id="58"/>
      </w:r>
    </w:p>
    <w:p>
      <w:pPr>
        <w:adjustRightInd w:val="0"/>
        <w:snapToGrid w:val="0"/>
        <w:spacing w:line="312" w:lineRule="auto"/>
        <w:ind w:firstLine="420" w:firstLineChars="200"/>
        <w:rPr>
          <w:rFonts w:hint="eastAsia" w:ascii="仿宋" w:hAnsi="仿宋" w:eastAsia="仿宋"/>
          <w:strike/>
        </w:rPr>
      </w:pPr>
      <w:r>
        <w:rPr>
          <w:rFonts w:ascii="仿宋" w:hAnsi="仿宋" w:eastAsia="仿宋"/>
          <w:strike/>
        </w:rPr>
        <w:t>附件2：农村中小金融机构行政许可事项申请材料目录及格式要求（2015年版）</w:t>
      </w:r>
    </w:p>
    <w:p>
      <w:pPr>
        <w:adjustRightInd w:val="0"/>
        <w:snapToGrid w:val="0"/>
        <w:spacing w:line="312" w:lineRule="auto"/>
        <w:ind w:firstLine="420" w:firstLineChars="200"/>
        <w:rPr>
          <w:rFonts w:hint="eastAsia" w:ascii="仿宋" w:hAnsi="仿宋" w:eastAsia="仿宋"/>
        </w:rPr>
      </w:pPr>
      <w:r>
        <w:rPr>
          <w:rFonts w:ascii="仿宋" w:hAnsi="仿宋" w:eastAsia="仿宋"/>
        </w:rPr>
        <w:t>附件3：外资银行行政许可事项申请材料目录及格式要求（2015年版）</w:t>
      </w:r>
    </w:p>
    <w:p>
      <w:pPr>
        <w:adjustRightInd w:val="0"/>
        <w:snapToGrid w:val="0"/>
        <w:spacing w:line="312" w:lineRule="auto"/>
        <w:ind w:firstLine="420" w:firstLineChars="200"/>
        <w:rPr>
          <w:rFonts w:hint="eastAsia" w:ascii="仿宋" w:hAnsi="仿宋" w:eastAsia="仿宋"/>
        </w:rPr>
      </w:pPr>
      <w:r>
        <w:rPr>
          <w:rFonts w:ascii="仿宋" w:hAnsi="仿宋" w:eastAsia="仿宋"/>
        </w:rPr>
        <w:t>附件4：信托公司行政许可事项申请材料目录及格式要求（2015年版）</w:t>
      </w:r>
    </w:p>
    <w:p>
      <w:pPr>
        <w:adjustRightInd w:val="0"/>
        <w:snapToGrid w:val="0"/>
        <w:spacing w:line="312" w:lineRule="auto"/>
        <w:ind w:firstLine="420" w:firstLineChars="200"/>
        <w:rPr>
          <w:rFonts w:hint="eastAsia" w:ascii="仿宋" w:hAnsi="仿宋" w:eastAsia="仿宋"/>
        </w:rPr>
      </w:pPr>
      <w:r>
        <w:rPr>
          <w:rFonts w:ascii="仿宋" w:hAnsi="仿宋" w:eastAsia="仿宋"/>
          <w:strike/>
        </w:rPr>
        <w:t>附件5：非银行金融机构行政许可事项申请材料目录及格式要求（2015年版）</w:t>
      </w:r>
      <w:r>
        <w:rPr>
          <w:rStyle w:val="54"/>
          <w:rFonts w:ascii="仿宋" w:hAnsi="仿宋" w:eastAsia="仿宋"/>
        </w:rPr>
        <w:footnoteReference w:id="59"/>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2015年7月27日</w:t>
      </w:r>
    </w:p>
    <w:p>
      <w:pPr>
        <w:widowControl/>
        <w:jc w:val="left"/>
        <w:rPr>
          <w:rFonts w:hint="eastAsia" w:ascii="仿宋" w:hAnsi="仿宋" w:eastAsia="仿宋"/>
          <w:b/>
          <w:bCs/>
          <w:kern w:val="44"/>
          <w:szCs w:val="21"/>
        </w:rPr>
      </w:pPr>
      <w:r>
        <w:rPr>
          <w:rFonts w:ascii="仿宋" w:hAnsi="仿宋" w:eastAsia="仿宋"/>
          <w:szCs w:val="21"/>
        </w:rPr>
        <w:br w:type="page"/>
      </w:r>
    </w:p>
    <w:p>
      <w:pPr>
        <w:pStyle w:val="3"/>
        <w:rPr>
          <w:rFonts w:hint="eastAsia"/>
        </w:rPr>
      </w:pPr>
      <w:bookmarkStart w:id="972" w:name="_Toc518836281"/>
      <w:bookmarkStart w:id="973" w:name="_Toc159398637"/>
      <w:bookmarkStart w:id="974" w:name="_Toc6225"/>
      <w:bookmarkStart w:id="975" w:name="_Toc161055666"/>
      <w:r>
        <w:t>附件1：中资商业银行行政许可事项申请材料目录及格式要求（2015年版）</w:t>
      </w:r>
      <w:bookmarkEnd w:id="972"/>
      <w:r>
        <w:rPr>
          <w:rFonts w:hint="eastAsia"/>
        </w:rPr>
        <w:t>（已废止）</w:t>
      </w:r>
      <w:bookmarkEnd w:id="973"/>
      <w:bookmarkEnd w:id="974"/>
      <w:bookmarkEnd w:id="975"/>
    </w:p>
    <w:p>
      <w:pPr>
        <w:pStyle w:val="3"/>
        <w:rPr>
          <w:rFonts w:hint="eastAsia"/>
        </w:rPr>
      </w:pPr>
      <w:bookmarkStart w:id="976" w:name="_Toc159398638"/>
      <w:bookmarkStart w:id="977" w:name="_Toc518836289"/>
      <w:bookmarkStart w:id="978" w:name="_Toc1439"/>
      <w:bookmarkStart w:id="979" w:name="_Toc161055667"/>
      <w:r>
        <w:t>附件2：农村中小金融机构行政许可事项申请材料目录及格式要求（2015年版）</w:t>
      </w:r>
      <w:bookmarkEnd w:id="976"/>
      <w:bookmarkEnd w:id="977"/>
      <w:r>
        <w:rPr>
          <w:rStyle w:val="54"/>
          <w:strike/>
        </w:rPr>
        <w:footnoteReference w:id="60"/>
      </w:r>
      <w:bookmarkEnd w:id="978"/>
      <w:bookmarkEnd w:id="979"/>
    </w:p>
    <w:p>
      <w:pPr>
        <w:pStyle w:val="3"/>
        <w:rPr>
          <w:rFonts w:hint="eastAsia"/>
        </w:rPr>
      </w:pPr>
      <w:bookmarkStart w:id="980" w:name="_Toc518836296"/>
      <w:bookmarkStart w:id="981" w:name="_Toc11107"/>
      <w:bookmarkStart w:id="982" w:name="_Toc159398639"/>
      <w:bookmarkStart w:id="983" w:name="_Toc161055668"/>
      <w:r>
        <w:t>附件3：外资银行行政许可事项申请材料目录及格式要求（2015年版）</w:t>
      </w:r>
      <w:bookmarkEnd w:id="980"/>
      <w:bookmarkEnd w:id="981"/>
      <w:bookmarkEnd w:id="982"/>
      <w:bookmarkEnd w:id="983"/>
    </w:p>
    <w:p>
      <w:pPr>
        <w:pStyle w:val="4"/>
        <w:adjustRightInd w:val="0"/>
        <w:snapToGrid w:val="0"/>
        <w:spacing w:before="0" w:after="0" w:line="312" w:lineRule="auto"/>
        <w:ind w:firstLine="422"/>
        <w:rPr>
          <w:rFonts w:hint="eastAsia" w:ascii="仿宋" w:hAnsi="仿宋" w:eastAsia="仿宋" w:cs="仿宋_GB2312"/>
          <w:b w:val="0"/>
          <w:sz w:val="21"/>
          <w:szCs w:val="30"/>
        </w:rPr>
      </w:pPr>
      <w:bookmarkStart w:id="984" w:name="_Toc518836297"/>
      <w:bookmarkStart w:id="985" w:name="_Toc424306808"/>
      <w:r>
        <w:rPr>
          <w:rFonts w:ascii="仿宋" w:hAnsi="仿宋" w:eastAsia="仿宋" w:cs="仿宋_GB2312"/>
          <w:b w:val="0"/>
          <w:sz w:val="21"/>
          <w:szCs w:val="30"/>
        </w:rPr>
        <w:t>一、机构设立</w:t>
      </w:r>
      <w:bookmarkEnd w:id="984"/>
      <w:bookmarkEnd w:id="985"/>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986" w:name="_Toc424306809"/>
      <w:r>
        <w:rPr>
          <w:rFonts w:hint="eastAsia" w:ascii="仿宋" w:hAnsi="仿宋" w:eastAsia="仿宋" w:cs="仿宋_GB2312"/>
          <w:sz w:val="21"/>
          <w:szCs w:val="30"/>
        </w:rPr>
        <w:t>（一）外商独资银行、中外合资银行设立</w:t>
      </w:r>
      <w:bookmarkEnd w:id="986"/>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987" w:name="_Toc518836298"/>
      <w:bookmarkStart w:id="988" w:name="_Toc424306810"/>
      <w:r>
        <w:rPr>
          <w:rStyle w:val="359"/>
          <w:rFonts w:hint="eastAsia" w:ascii="仿宋" w:hAnsi="仿宋" w:eastAsia="仿宋" w:cs="仿宋_GB2312"/>
          <w:b w:val="0"/>
          <w:bCs w:val="0"/>
          <w:sz w:val="21"/>
          <w:szCs w:val="30"/>
        </w:rPr>
        <w:t>1.1</w:t>
      </w:r>
      <w:bookmarkEnd w:id="987"/>
      <w:r>
        <w:rPr>
          <w:rFonts w:hint="eastAsia" w:ascii="仿宋" w:hAnsi="仿宋" w:eastAsia="仿宋" w:cs="仿宋_GB2312"/>
          <w:sz w:val="21"/>
          <w:szCs w:val="30"/>
        </w:rPr>
        <w:t>外商独资银行、中外合资银行筹建审批</w:t>
      </w:r>
      <w:bookmarkEnd w:id="988"/>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各股东董事长或者行长（首席执行官、总经理）联合签署的筹建申请书，内容包括拟设机构的名称、所在地、注册资本、申请经营的业务种类、各股东名称和出资比例等；</w:t>
      </w:r>
    </w:p>
    <w:p>
      <w:pPr>
        <w:numPr>
          <w:ilvl w:val="0"/>
          <w:numId w:val="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可行性研究报告，内容至少包括申请人的基本情况、对拟设机构的市场前景分析、业务发展规划、组织管理结构、开业后3年的资产负债规模和盈亏预测，与业务经营相关的信息系统、数据中心及网络建设初步规划；</w:t>
      </w:r>
    </w:p>
    <w:p>
      <w:pPr>
        <w:numPr>
          <w:ilvl w:val="0"/>
          <w:numId w:val="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拟设机构的章程草案；</w:t>
      </w:r>
    </w:p>
    <w:p>
      <w:pPr>
        <w:numPr>
          <w:ilvl w:val="0"/>
          <w:numId w:val="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拟设机构各股东签署的合资经营合同，但单一股东的外商独资银行除外；</w:t>
      </w:r>
    </w:p>
    <w:p>
      <w:pPr>
        <w:numPr>
          <w:ilvl w:val="0"/>
          <w:numId w:val="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拟设机构各股东的章程；</w:t>
      </w:r>
    </w:p>
    <w:p>
      <w:pPr>
        <w:numPr>
          <w:ilvl w:val="0"/>
          <w:numId w:val="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拟设机构各股东及其所在集团的组织结构图、主要股东名单、海外分支机构和关联企业名单；</w:t>
      </w:r>
    </w:p>
    <w:p>
      <w:pPr>
        <w:numPr>
          <w:ilvl w:val="0"/>
          <w:numId w:val="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拟设机构各股东最近3年的年报；</w:t>
      </w:r>
    </w:p>
    <w:p>
      <w:pPr>
        <w:numPr>
          <w:ilvl w:val="0"/>
          <w:numId w:val="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拟设机构各股东的反洗钱制度，中方股东为非金融机构的，可不提供反洗钱制度；</w:t>
      </w:r>
    </w:p>
    <w:p>
      <w:pPr>
        <w:numPr>
          <w:ilvl w:val="0"/>
          <w:numId w:val="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拟设机构各股东签署的在中国境内长期持续经营并对拟设机构实施有效管理的承诺函;</w:t>
      </w:r>
    </w:p>
    <w:p>
      <w:pPr>
        <w:numPr>
          <w:ilvl w:val="0"/>
          <w:numId w:val="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拟设机构外方股东所在国家或者地区金融监管当局核发的营业执照或者经营金融业务许可文件的复印件及对其申请的意见书；</w:t>
      </w:r>
    </w:p>
    <w:p>
      <w:pPr>
        <w:numPr>
          <w:ilvl w:val="0"/>
          <w:numId w:val="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初次设立外商独资银行、中外合资银行的，应当报送外方股东所在国家或者地区金融体系情况和有关金融监管法规的摘要；</w:t>
      </w:r>
    </w:p>
    <w:p>
      <w:pPr>
        <w:numPr>
          <w:ilvl w:val="0"/>
          <w:numId w:val="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989" w:name="_Toc518836299"/>
      <w:bookmarkStart w:id="990" w:name="_Toc424306811"/>
      <w:r>
        <w:rPr>
          <w:rStyle w:val="359"/>
          <w:rFonts w:hint="eastAsia" w:ascii="仿宋" w:hAnsi="仿宋" w:eastAsia="仿宋" w:cs="仿宋_GB2312"/>
          <w:b w:val="0"/>
          <w:bCs w:val="0"/>
          <w:sz w:val="21"/>
          <w:szCs w:val="30"/>
        </w:rPr>
        <w:t>1.2</w:t>
      </w:r>
      <w:bookmarkEnd w:id="989"/>
      <w:r>
        <w:rPr>
          <w:rFonts w:hint="eastAsia" w:ascii="仿宋" w:hAnsi="仿宋" w:eastAsia="仿宋" w:cs="仿宋_GB2312"/>
          <w:sz w:val="21"/>
          <w:szCs w:val="30"/>
        </w:rPr>
        <w:t>外商独资银行、中外合资银行开业审批</w:t>
      </w:r>
      <w:bookmarkEnd w:id="990"/>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筹备组负责人签署的开业申请书，内容包括拟设机构的名称、住所、注册资本、业务范围、各股东及其持股比例、拟任董事长和行长（首席执行官、总经理）的姓名等；与拟设外商独资银行、中外合资银行在同一城市设有代表处的，应当同时申请关闭代表处；</w:t>
      </w:r>
    </w:p>
    <w:p>
      <w:pPr>
        <w:numPr>
          <w:ilvl w:val="0"/>
          <w:numId w:val="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开业申请表；</w:t>
      </w:r>
    </w:p>
    <w:p>
      <w:pPr>
        <w:numPr>
          <w:ilvl w:val="0"/>
          <w:numId w:val="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拟任董事长、行长（首席执行官、总经理）任职资格核准所需的相关资料；</w:t>
      </w:r>
    </w:p>
    <w:p>
      <w:pPr>
        <w:numPr>
          <w:ilvl w:val="0"/>
          <w:numId w:val="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开业前审计报告和法定验资机构出具的验资证明；</w:t>
      </w:r>
    </w:p>
    <w:p>
      <w:pPr>
        <w:numPr>
          <w:ilvl w:val="0"/>
          <w:numId w:val="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拟设机构组织结构图、各岗位职责描述、内部授权和汇报路线；</w:t>
      </w:r>
    </w:p>
    <w:p>
      <w:pPr>
        <w:numPr>
          <w:ilvl w:val="0"/>
          <w:numId w:val="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拟设机构人员名单、简历和培训记录；</w:t>
      </w:r>
    </w:p>
    <w:p>
      <w:pPr>
        <w:numPr>
          <w:ilvl w:val="0"/>
          <w:numId w:val="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拟设机构的章程草案以及在中国境内依法设立的律师事务所出具的对章程草案的法律意见书；</w:t>
      </w:r>
    </w:p>
    <w:p>
      <w:pPr>
        <w:numPr>
          <w:ilvl w:val="0"/>
          <w:numId w:val="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营业场所的安全、消防设施的合格证明或者相关证明复印件；</w:t>
      </w:r>
    </w:p>
    <w:p>
      <w:pPr>
        <w:numPr>
          <w:ilvl w:val="0"/>
          <w:numId w:val="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营业场所的所有权证明、使用权证明或者租赁合同的复印件；</w:t>
      </w:r>
    </w:p>
    <w:p>
      <w:pPr>
        <w:numPr>
          <w:ilvl w:val="0"/>
          <w:numId w:val="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991" w:name="_Toc424306812"/>
      <w:r>
        <w:rPr>
          <w:rFonts w:hint="eastAsia" w:ascii="仿宋" w:hAnsi="仿宋" w:eastAsia="仿宋" w:cs="仿宋_GB2312"/>
          <w:sz w:val="21"/>
          <w:szCs w:val="30"/>
        </w:rPr>
        <w:t>（二）外国银行分行改制为外商独资银行</w:t>
      </w:r>
      <w:bookmarkEnd w:id="991"/>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992" w:name="_Toc518836300"/>
      <w:bookmarkStart w:id="993" w:name="_Toc424306813"/>
      <w:r>
        <w:rPr>
          <w:rStyle w:val="359"/>
          <w:rFonts w:hint="eastAsia" w:ascii="仿宋" w:hAnsi="仿宋" w:eastAsia="仿宋" w:cs="仿宋_GB2312"/>
          <w:b w:val="0"/>
          <w:bCs w:val="0"/>
          <w:sz w:val="21"/>
          <w:szCs w:val="30"/>
        </w:rPr>
        <w:t>1.3</w:t>
      </w:r>
      <w:bookmarkEnd w:id="992"/>
      <w:r>
        <w:rPr>
          <w:rFonts w:hint="eastAsia" w:ascii="仿宋" w:hAnsi="仿宋" w:eastAsia="仿宋" w:cs="仿宋_GB2312"/>
          <w:sz w:val="21"/>
          <w:szCs w:val="30"/>
        </w:rPr>
        <w:t>外国银行将其在中国境内分行改制为外商独资银行的筹建审批</w:t>
      </w:r>
      <w:bookmarkEnd w:id="993"/>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3"/>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申请书，内容包括拟设外商独资银行及其分支机构的名称、所在地、注册资本或者营运资金、申请经营的业务种类等；如同时申请增加注册资本，应当标明拟增加的注册资本金额及币种；</w:t>
      </w:r>
    </w:p>
    <w:p>
      <w:pPr>
        <w:numPr>
          <w:ilvl w:val="0"/>
          <w:numId w:val="3"/>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可行性研究报告及机构改制计划，内容至少包括申请人的基本情况、对拟设机构的市场前景分析、业务发展规划、组织管理结构、开业后3年的资产负债规模和盈亏预测，与业务经营相关的信息系统、数据中心及网络建设初步规划；</w:t>
      </w:r>
    </w:p>
    <w:p>
      <w:pPr>
        <w:numPr>
          <w:ilvl w:val="0"/>
          <w:numId w:val="3"/>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拟设机构的章程草案；</w:t>
      </w:r>
    </w:p>
    <w:p>
      <w:pPr>
        <w:numPr>
          <w:ilvl w:val="0"/>
          <w:numId w:val="3"/>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申请人关于将中国境内分行改制为由其单独出资的外商独资银行的董事会决议；</w:t>
      </w:r>
    </w:p>
    <w:p>
      <w:pPr>
        <w:numPr>
          <w:ilvl w:val="0"/>
          <w:numId w:val="3"/>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申请人董事长或者行长（首席执行官、总经理）签署的同意由拟设外商独资银行承继原在中国境内分行债权、债务及税务的意见函以及对改制前原中国境内分行的债权、债务及税务承担连带责任的承诺函；</w:t>
      </w:r>
    </w:p>
    <w:p>
      <w:pPr>
        <w:numPr>
          <w:ilvl w:val="0"/>
          <w:numId w:val="3"/>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在中国境内长期持续经营并对拟设外商独资银行实施有效管理的承诺函，内容包括允许拟设外商独资银行使用其商誉、对拟设外商独资银行提供资本、管理和技术支持等；</w:t>
      </w:r>
    </w:p>
    <w:p>
      <w:pPr>
        <w:numPr>
          <w:ilvl w:val="0"/>
          <w:numId w:val="3"/>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申请人提出申请前2年在中国境内所有分行经审计的合并财务会计报告；</w:t>
      </w:r>
    </w:p>
    <w:p>
      <w:pPr>
        <w:numPr>
          <w:ilvl w:val="0"/>
          <w:numId w:val="3"/>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申请人所在国家或者地区金融监管当局对其中国境内分行改制的意见书；</w:t>
      </w:r>
    </w:p>
    <w:p>
      <w:pPr>
        <w:numPr>
          <w:ilvl w:val="0"/>
          <w:numId w:val="3"/>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申请人最近3年年报；</w:t>
      </w:r>
    </w:p>
    <w:p>
      <w:pPr>
        <w:numPr>
          <w:ilvl w:val="0"/>
          <w:numId w:val="3"/>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994" w:name="_Toc518836301"/>
      <w:bookmarkStart w:id="995" w:name="_Toc424306814"/>
      <w:r>
        <w:rPr>
          <w:rStyle w:val="359"/>
          <w:rFonts w:hint="eastAsia" w:ascii="仿宋" w:hAnsi="仿宋" w:eastAsia="仿宋" w:cs="仿宋_GB2312"/>
          <w:b w:val="0"/>
          <w:bCs w:val="0"/>
          <w:sz w:val="21"/>
          <w:szCs w:val="30"/>
        </w:rPr>
        <w:t>1.4</w:t>
      </w:r>
      <w:bookmarkEnd w:id="994"/>
      <w:r>
        <w:rPr>
          <w:rFonts w:hint="eastAsia" w:ascii="仿宋" w:hAnsi="仿宋" w:eastAsia="仿宋" w:cs="仿宋_GB2312"/>
          <w:sz w:val="21"/>
          <w:szCs w:val="30"/>
        </w:rPr>
        <w:t>外国银行将其在中国境内分行改制为外商独资银行的开业审批</w:t>
      </w:r>
      <w:bookmarkEnd w:id="995"/>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4"/>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筹备组负责人签署的开业申请书，内容包括拟设外商独资银行及其分支机构名称、住所或者营业地址、注册资本及其分支机构的营运资金、申请经营的业务种类、拟任董事长、行长（首席执行官、总经理）及分支行行长的姓名等；</w:t>
      </w:r>
    </w:p>
    <w:p>
      <w:pPr>
        <w:numPr>
          <w:ilvl w:val="0"/>
          <w:numId w:val="4"/>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拟转入拟设外商独资银行的资产、负债和所有者权益的清单，拟设外商独资银行的模拟资产负债表、损益表、贷款质量五级分类情况表、贷款损失准备数额；</w:t>
      </w:r>
    </w:p>
    <w:p>
      <w:pPr>
        <w:numPr>
          <w:ilvl w:val="0"/>
          <w:numId w:val="4"/>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改制完成情况的说明；</w:t>
      </w:r>
    </w:p>
    <w:p>
      <w:pPr>
        <w:numPr>
          <w:ilvl w:val="0"/>
          <w:numId w:val="4"/>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律师事务所出具的关于合同转让法律意见书，对于不具备转让条件的合同，应当对银行制定的紧急预案提出法律意见；</w:t>
      </w:r>
    </w:p>
    <w:p>
      <w:pPr>
        <w:numPr>
          <w:ilvl w:val="0"/>
          <w:numId w:val="4"/>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开业前审计报告和法定验资机构出具的验资证明；</w:t>
      </w:r>
    </w:p>
    <w:p>
      <w:pPr>
        <w:numPr>
          <w:ilvl w:val="0"/>
          <w:numId w:val="4"/>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拟设外商独资银行的章程草案以及在中国境内依法设立的律师事务所出具的对章程草案的法律意见书；</w:t>
      </w:r>
    </w:p>
    <w:p>
      <w:pPr>
        <w:numPr>
          <w:ilvl w:val="0"/>
          <w:numId w:val="4"/>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拟设外商独资银行组织结构图、各岗位职责描述、内部授权和汇报路线；</w:t>
      </w:r>
    </w:p>
    <w:p>
      <w:pPr>
        <w:numPr>
          <w:ilvl w:val="0"/>
          <w:numId w:val="4"/>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拟设外商独资银行人员名单、简历和培训记录；</w:t>
      </w:r>
    </w:p>
    <w:p>
      <w:pPr>
        <w:numPr>
          <w:ilvl w:val="0"/>
          <w:numId w:val="4"/>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拟任外商独资银行董事长、行长（首席执行官、总经理）以及外商独资银行分行行长、管理型支行行长任职资格核准所需的相关资料；</w:t>
      </w:r>
    </w:p>
    <w:p>
      <w:pPr>
        <w:numPr>
          <w:ilvl w:val="0"/>
          <w:numId w:val="4"/>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996" w:name="_Toc424306815"/>
      <w:r>
        <w:rPr>
          <w:rFonts w:hint="eastAsia" w:ascii="仿宋" w:hAnsi="仿宋" w:eastAsia="仿宋" w:cs="仿宋_GB2312"/>
          <w:sz w:val="21"/>
          <w:szCs w:val="30"/>
        </w:rPr>
        <w:t>（三）外国银行分行设立</w:t>
      </w:r>
      <w:bookmarkEnd w:id="996"/>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997" w:name="_Toc518836302"/>
      <w:bookmarkStart w:id="998" w:name="_Toc424306816"/>
      <w:r>
        <w:rPr>
          <w:rStyle w:val="359"/>
          <w:rFonts w:hint="eastAsia" w:ascii="仿宋" w:hAnsi="仿宋" w:eastAsia="仿宋" w:cs="仿宋_GB2312"/>
          <w:b w:val="0"/>
          <w:bCs w:val="0"/>
          <w:sz w:val="21"/>
          <w:szCs w:val="30"/>
        </w:rPr>
        <w:t>1.5</w:t>
      </w:r>
      <w:bookmarkEnd w:id="997"/>
      <w:r>
        <w:rPr>
          <w:rFonts w:hint="eastAsia" w:ascii="仿宋" w:hAnsi="仿宋" w:eastAsia="仿宋" w:cs="仿宋_GB2312"/>
          <w:sz w:val="21"/>
          <w:szCs w:val="30"/>
        </w:rPr>
        <w:t>外国银行分行筹建审批</w:t>
      </w:r>
      <w:bookmarkEnd w:id="998"/>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5"/>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申请人董事长或者行长（首席执行官、总经理）签署的筹建申请书，内容包括拟设机构的名称、所在地、营运资金、申请经营的业务种类等；</w:t>
      </w:r>
    </w:p>
    <w:p>
      <w:pPr>
        <w:numPr>
          <w:ilvl w:val="0"/>
          <w:numId w:val="5"/>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可行性研究报告，内容包括申请人的基本情况、对拟设机构的市场前景分析、业务发展规划、组织管理结构、开业后3年的资产负债规模和盈亏预测等；</w:t>
      </w:r>
    </w:p>
    <w:p>
      <w:pPr>
        <w:numPr>
          <w:ilvl w:val="0"/>
          <w:numId w:val="5"/>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申请人章程；</w:t>
      </w:r>
    </w:p>
    <w:p>
      <w:pPr>
        <w:numPr>
          <w:ilvl w:val="0"/>
          <w:numId w:val="5"/>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申请人及其所在集团的组织结构图、主要股东名单、海外分支机构和关联企业名单；</w:t>
      </w:r>
    </w:p>
    <w:p>
      <w:pPr>
        <w:numPr>
          <w:ilvl w:val="0"/>
          <w:numId w:val="5"/>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申请人最近3年年报；</w:t>
      </w:r>
    </w:p>
    <w:p>
      <w:pPr>
        <w:numPr>
          <w:ilvl w:val="0"/>
          <w:numId w:val="5"/>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申请人的反洗钱制度；</w:t>
      </w:r>
    </w:p>
    <w:p>
      <w:pPr>
        <w:numPr>
          <w:ilvl w:val="0"/>
          <w:numId w:val="5"/>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申请人所在国家或者地区金融监管当局核发的营业执照或者经营金融业务许可文件的复印件及对其申请的意见书；</w:t>
      </w:r>
    </w:p>
    <w:p>
      <w:pPr>
        <w:numPr>
          <w:ilvl w:val="0"/>
          <w:numId w:val="5"/>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初次设立外国银行分行的，申请人应当报送所在国家或者地区金融体系情况和有关金融监管法规的摘要；</w:t>
      </w:r>
    </w:p>
    <w:p>
      <w:pPr>
        <w:numPr>
          <w:ilvl w:val="0"/>
          <w:numId w:val="5"/>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999" w:name="_Toc518836303"/>
      <w:bookmarkStart w:id="1000" w:name="_Toc424306817"/>
      <w:r>
        <w:rPr>
          <w:rStyle w:val="359"/>
          <w:rFonts w:hint="eastAsia" w:ascii="仿宋" w:hAnsi="仿宋" w:eastAsia="仿宋" w:cs="仿宋_GB2312"/>
          <w:b w:val="0"/>
          <w:bCs w:val="0"/>
          <w:sz w:val="21"/>
          <w:szCs w:val="30"/>
        </w:rPr>
        <w:t>1.6</w:t>
      </w:r>
      <w:bookmarkEnd w:id="999"/>
      <w:r>
        <w:rPr>
          <w:rFonts w:hint="eastAsia" w:ascii="仿宋" w:hAnsi="仿宋" w:eastAsia="仿宋" w:cs="仿宋_GB2312"/>
          <w:sz w:val="21"/>
          <w:szCs w:val="30"/>
        </w:rPr>
        <w:t>外国银行分行开业审批</w:t>
      </w:r>
      <w:bookmarkEnd w:id="1000"/>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6"/>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筹备组负责人签署的开业申请书，内容包括拟设机构的名称、营业地址、营运资金、业务范围、拟任分行行长姓名等；在拟设分行同一城市设有代表处的，应当同时申请关闭代表处；</w:t>
      </w:r>
    </w:p>
    <w:p>
      <w:pPr>
        <w:numPr>
          <w:ilvl w:val="0"/>
          <w:numId w:val="6"/>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开业申请表；</w:t>
      </w:r>
    </w:p>
    <w:p>
      <w:pPr>
        <w:numPr>
          <w:ilvl w:val="0"/>
          <w:numId w:val="6"/>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拟任外国银行分行行长任职资格核准所需的相关资料；</w:t>
      </w:r>
    </w:p>
    <w:p>
      <w:pPr>
        <w:numPr>
          <w:ilvl w:val="0"/>
          <w:numId w:val="6"/>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开业前审计报告和法定验资机构出具的验资证明；</w:t>
      </w:r>
    </w:p>
    <w:p>
      <w:pPr>
        <w:numPr>
          <w:ilvl w:val="0"/>
          <w:numId w:val="6"/>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外国银行对拟设分行承担税务、债务责任的保证书；</w:t>
      </w:r>
    </w:p>
    <w:p>
      <w:pPr>
        <w:numPr>
          <w:ilvl w:val="0"/>
          <w:numId w:val="6"/>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拟设分行组织结构图、各岗位职责描述、内部授权和汇报路线；</w:t>
      </w:r>
    </w:p>
    <w:p>
      <w:pPr>
        <w:numPr>
          <w:ilvl w:val="0"/>
          <w:numId w:val="6"/>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拟设分行人员名单、简历和培训记录；</w:t>
      </w:r>
    </w:p>
    <w:p>
      <w:pPr>
        <w:numPr>
          <w:ilvl w:val="0"/>
          <w:numId w:val="6"/>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营业场所的安全、消防设施的合格证明或者相关证明复印件；</w:t>
      </w:r>
    </w:p>
    <w:p>
      <w:pPr>
        <w:numPr>
          <w:ilvl w:val="0"/>
          <w:numId w:val="6"/>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营业场所的所有权证明、使用权证明或者租赁合同复印件；</w:t>
      </w:r>
    </w:p>
    <w:p>
      <w:pPr>
        <w:numPr>
          <w:ilvl w:val="0"/>
          <w:numId w:val="6"/>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01" w:name="_Toc424306818"/>
      <w:r>
        <w:rPr>
          <w:rFonts w:hint="eastAsia" w:ascii="仿宋" w:hAnsi="仿宋" w:eastAsia="仿宋" w:cs="仿宋_GB2312"/>
          <w:sz w:val="21"/>
          <w:szCs w:val="30"/>
        </w:rPr>
        <w:t>（四）外商独资银行、中外合资银行下设分行设立</w:t>
      </w:r>
      <w:bookmarkEnd w:id="1001"/>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02" w:name="_Toc518836304"/>
      <w:bookmarkStart w:id="1003" w:name="_Toc424306819"/>
      <w:r>
        <w:rPr>
          <w:rStyle w:val="359"/>
          <w:rFonts w:hint="eastAsia" w:ascii="仿宋" w:hAnsi="仿宋" w:eastAsia="仿宋" w:cs="仿宋_GB2312"/>
          <w:b w:val="0"/>
          <w:bCs w:val="0"/>
          <w:sz w:val="21"/>
          <w:szCs w:val="30"/>
        </w:rPr>
        <w:t>1.7</w:t>
      </w:r>
      <w:bookmarkEnd w:id="1002"/>
      <w:r>
        <w:rPr>
          <w:rFonts w:hint="eastAsia" w:ascii="仿宋" w:hAnsi="仿宋" w:eastAsia="仿宋" w:cs="仿宋_GB2312"/>
          <w:sz w:val="21"/>
          <w:szCs w:val="30"/>
        </w:rPr>
        <w:t>外商独资银行、中外合资银行下设分行筹建审批</w:t>
      </w:r>
      <w:bookmarkEnd w:id="1003"/>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7"/>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申请人董事长或者行长（首席执行官、总经理）签署的筹建申请书，内容包括拟设机构的名称、所在地、营运资金、申请经营的业务种类等；</w:t>
      </w:r>
    </w:p>
    <w:p>
      <w:pPr>
        <w:numPr>
          <w:ilvl w:val="0"/>
          <w:numId w:val="7"/>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可行性研究报告，内容包括申请人的基本情况、对拟设机构的市场前景分析、业务发展规划、组织管理结构、开业后3年的资产负债规模和盈亏预测等；</w:t>
      </w:r>
    </w:p>
    <w:p>
      <w:pPr>
        <w:numPr>
          <w:ilvl w:val="0"/>
          <w:numId w:val="7"/>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申请人章程；</w:t>
      </w:r>
    </w:p>
    <w:p>
      <w:pPr>
        <w:numPr>
          <w:ilvl w:val="0"/>
          <w:numId w:val="7"/>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申请人年报；</w:t>
      </w:r>
    </w:p>
    <w:p>
      <w:pPr>
        <w:numPr>
          <w:ilvl w:val="0"/>
          <w:numId w:val="7"/>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申请人反洗钱制度；</w:t>
      </w:r>
    </w:p>
    <w:p>
      <w:pPr>
        <w:numPr>
          <w:ilvl w:val="0"/>
          <w:numId w:val="7"/>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申请人营业执照复印件；</w:t>
      </w:r>
    </w:p>
    <w:p>
      <w:pPr>
        <w:numPr>
          <w:ilvl w:val="0"/>
          <w:numId w:val="7"/>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申请人关于同意设立分行的董事会决议；</w:t>
      </w:r>
    </w:p>
    <w:p>
      <w:pPr>
        <w:numPr>
          <w:ilvl w:val="0"/>
          <w:numId w:val="7"/>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04" w:name="_Toc518836305"/>
      <w:bookmarkStart w:id="1005" w:name="_Toc424306820"/>
      <w:r>
        <w:rPr>
          <w:rStyle w:val="359"/>
          <w:rFonts w:hint="eastAsia" w:ascii="仿宋" w:hAnsi="仿宋" w:eastAsia="仿宋" w:cs="仿宋_GB2312"/>
          <w:b w:val="0"/>
          <w:bCs w:val="0"/>
          <w:sz w:val="21"/>
          <w:szCs w:val="30"/>
        </w:rPr>
        <w:t>1.8</w:t>
      </w:r>
      <w:bookmarkEnd w:id="1004"/>
      <w:r>
        <w:rPr>
          <w:rFonts w:hint="eastAsia" w:ascii="仿宋" w:hAnsi="仿宋" w:eastAsia="仿宋" w:cs="仿宋_GB2312"/>
          <w:sz w:val="21"/>
          <w:szCs w:val="30"/>
        </w:rPr>
        <w:t>外商独资银行、中外合资银行下设分行开业审批</w:t>
      </w:r>
      <w:bookmarkEnd w:id="1005"/>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8"/>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筹备组负责人签署的开业申请书，内容包括拟设机构的名称、营业地址、营运资金、业务范围、拟任分行行长姓名等；</w:t>
      </w:r>
    </w:p>
    <w:p>
      <w:pPr>
        <w:numPr>
          <w:ilvl w:val="0"/>
          <w:numId w:val="8"/>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开业申请表；</w:t>
      </w:r>
    </w:p>
    <w:p>
      <w:pPr>
        <w:numPr>
          <w:ilvl w:val="0"/>
          <w:numId w:val="8"/>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拟任分行行长任职资格核准所需的相关资料；</w:t>
      </w:r>
    </w:p>
    <w:p>
      <w:pPr>
        <w:numPr>
          <w:ilvl w:val="0"/>
          <w:numId w:val="8"/>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开业前审计报告和法定验资机构出具的验资证明；</w:t>
      </w:r>
    </w:p>
    <w:p>
      <w:pPr>
        <w:numPr>
          <w:ilvl w:val="0"/>
          <w:numId w:val="8"/>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营业场所的安全、消防设施的合格证明或者相关证明复印件；</w:t>
      </w:r>
    </w:p>
    <w:p>
      <w:pPr>
        <w:numPr>
          <w:ilvl w:val="0"/>
          <w:numId w:val="8"/>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拟设机构组织结构图、各岗位职责描述、内部授权和汇报路线；</w:t>
      </w:r>
    </w:p>
    <w:p>
      <w:pPr>
        <w:numPr>
          <w:ilvl w:val="0"/>
          <w:numId w:val="8"/>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拟设机构人员名单、简历和培训记录；</w:t>
      </w:r>
    </w:p>
    <w:p>
      <w:pPr>
        <w:numPr>
          <w:ilvl w:val="0"/>
          <w:numId w:val="8"/>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营业场所的所有权证明、使用权证明或者租赁合同的复印件；</w:t>
      </w:r>
    </w:p>
    <w:p>
      <w:pPr>
        <w:numPr>
          <w:ilvl w:val="0"/>
          <w:numId w:val="8"/>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06" w:name="_Toc424306821"/>
      <w:r>
        <w:rPr>
          <w:rFonts w:hint="eastAsia" w:ascii="仿宋" w:hAnsi="仿宋" w:eastAsia="仿宋" w:cs="仿宋_GB2312"/>
          <w:sz w:val="21"/>
          <w:szCs w:val="30"/>
        </w:rPr>
        <w:t>（五）支行设立</w:t>
      </w:r>
      <w:bookmarkEnd w:id="1006"/>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07" w:name="_Toc518836306"/>
      <w:bookmarkStart w:id="1008" w:name="_Toc424306822"/>
      <w:r>
        <w:rPr>
          <w:rStyle w:val="359"/>
          <w:rFonts w:hint="eastAsia" w:ascii="仿宋" w:hAnsi="仿宋" w:eastAsia="仿宋" w:cs="仿宋_GB2312"/>
          <w:b w:val="0"/>
          <w:bCs w:val="0"/>
          <w:sz w:val="21"/>
          <w:szCs w:val="30"/>
        </w:rPr>
        <w:t>1.9</w:t>
      </w:r>
      <w:bookmarkEnd w:id="1007"/>
      <w:r>
        <w:rPr>
          <w:rFonts w:hint="eastAsia" w:ascii="仿宋" w:hAnsi="仿宋" w:eastAsia="仿宋" w:cs="仿宋_GB2312"/>
          <w:sz w:val="21"/>
          <w:szCs w:val="30"/>
        </w:rPr>
        <w:t>支行筹建审批</w:t>
      </w:r>
      <w:bookmarkEnd w:id="1008"/>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9"/>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申请人授权签字人签署的筹建申请书，内容包括拟设支行的名称、所在地、营运资金、申请经营的业务种类等；</w:t>
      </w:r>
    </w:p>
    <w:p>
      <w:pPr>
        <w:numPr>
          <w:ilvl w:val="0"/>
          <w:numId w:val="9"/>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可行性研究报告，内容包括申请人的基本情况、对拟设机构的市场前景分析、业务发展规划、组织管理结构、开业后3年的资产负债规模和盈亏预测等；</w:t>
      </w:r>
    </w:p>
    <w:p>
      <w:pPr>
        <w:numPr>
          <w:ilvl w:val="0"/>
          <w:numId w:val="9"/>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申请人最近1年经审计的财务会计报告；香港、澳门地区的银行在广东省内分行或者香港、澳门地区的银行在内地设立的外商独资银行在广东省内分行最近1年经审计的财务会计报告；</w:t>
      </w:r>
    </w:p>
    <w:p>
      <w:pPr>
        <w:numPr>
          <w:ilvl w:val="0"/>
          <w:numId w:val="9"/>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拟设机构上一级管理机构最近1年新设机构的经营管理情况；</w:t>
      </w:r>
    </w:p>
    <w:p>
      <w:pPr>
        <w:numPr>
          <w:ilvl w:val="0"/>
          <w:numId w:val="9"/>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09" w:name="_Toc518836307"/>
      <w:bookmarkStart w:id="1010" w:name="_Toc424306823"/>
      <w:r>
        <w:rPr>
          <w:rStyle w:val="359"/>
          <w:rFonts w:hint="eastAsia" w:ascii="仿宋" w:hAnsi="仿宋" w:eastAsia="仿宋" w:cs="仿宋_GB2312"/>
          <w:b w:val="0"/>
          <w:bCs w:val="0"/>
          <w:sz w:val="21"/>
          <w:szCs w:val="30"/>
        </w:rPr>
        <w:t>1.10</w:t>
      </w:r>
      <w:bookmarkEnd w:id="1009"/>
      <w:r>
        <w:rPr>
          <w:rFonts w:hint="eastAsia" w:ascii="仿宋" w:hAnsi="仿宋" w:eastAsia="仿宋" w:cs="仿宋_GB2312"/>
          <w:sz w:val="21"/>
          <w:szCs w:val="30"/>
        </w:rPr>
        <w:t>支行开业审批</w:t>
      </w:r>
      <w:bookmarkEnd w:id="1010"/>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10"/>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筹备组负责人签署的开业申请书，内容包括拟设机构的名称、营业地址、营运资金、业务范围、拟任支行行长的姓名等；</w:t>
      </w:r>
    </w:p>
    <w:p>
      <w:pPr>
        <w:numPr>
          <w:ilvl w:val="0"/>
          <w:numId w:val="10"/>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开业申请表；</w:t>
      </w:r>
    </w:p>
    <w:p>
      <w:pPr>
        <w:numPr>
          <w:ilvl w:val="0"/>
          <w:numId w:val="10"/>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与业务规模相适应的营运资金已拨付到位，法定验资机构出具的验资证明；</w:t>
      </w:r>
    </w:p>
    <w:p>
      <w:pPr>
        <w:numPr>
          <w:ilvl w:val="0"/>
          <w:numId w:val="10"/>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拟任管理型支行行长任职资格核准所需的相关资料；</w:t>
      </w:r>
    </w:p>
    <w:p>
      <w:pPr>
        <w:numPr>
          <w:ilvl w:val="0"/>
          <w:numId w:val="10"/>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拟设支行的组织结构图、各岗位职责描述、内部授权和汇报路线；</w:t>
      </w:r>
    </w:p>
    <w:p>
      <w:pPr>
        <w:numPr>
          <w:ilvl w:val="0"/>
          <w:numId w:val="10"/>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拟设支行人员名单、简历和培训记录；</w:t>
      </w:r>
    </w:p>
    <w:p>
      <w:pPr>
        <w:numPr>
          <w:ilvl w:val="0"/>
          <w:numId w:val="10"/>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营业场所的所有权证明、使用权证明或者租赁合同的复印件；</w:t>
      </w:r>
    </w:p>
    <w:p>
      <w:pPr>
        <w:numPr>
          <w:ilvl w:val="0"/>
          <w:numId w:val="10"/>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营业场所的安全、消防设施的合格证明或者相关证明复印件；</w:t>
      </w:r>
    </w:p>
    <w:p>
      <w:pPr>
        <w:numPr>
          <w:ilvl w:val="0"/>
          <w:numId w:val="10"/>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11" w:name="_Toc424306824"/>
      <w:r>
        <w:rPr>
          <w:rFonts w:hint="eastAsia" w:ascii="仿宋" w:hAnsi="仿宋" w:eastAsia="仿宋" w:cs="仿宋_GB2312"/>
          <w:sz w:val="21"/>
          <w:szCs w:val="30"/>
        </w:rPr>
        <w:t>（六）代表处设立</w:t>
      </w:r>
      <w:bookmarkEnd w:id="1011"/>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12" w:name="_Toc518836308"/>
      <w:bookmarkStart w:id="1013" w:name="_Toc424306825"/>
      <w:r>
        <w:rPr>
          <w:rStyle w:val="359"/>
          <w:rFonts w:hint="eastAsia" w:ascii="仿宋" w:hAnsi="仿宋" w:eastAsia="仿宋" w:cs="仿宋_GB2312"/>
          <w:b w:val="0"/>
          <w:bCs w:val="0"/>
          <w:sz w:val="21"/>
          <w:szCs w:val="30"/>
        </w:rPr>
        <w:t>1.11外国银行</w:t>
      </w:r>
      <w:bookmarkEnd w:id="1012"/>
      <w:r>
        <w:rPr>
          <w:rFonts w:hint="eastAsia" w:ascii="仿宋" w:hAnsi="仿宋" w:eastAsia="仿宋" w:cs="仿宋_GB2312"/>
          <w:sz w:val="21"/>
          <w:szCs w:val="30"/>
        </w:rPr>
        <w:t>代表处设立审批</w:t>
      </w:r>
      <w:bookmarkEnd w:id="1013"/>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11"/>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申请人董事长或者行长（首席执行官、总经理）签署的申请书，内容包括拟设代表处的名称、所在地、拟任首席代表姓名等；</w:t>
      </w:r>
    </w:p>
    <w:p>
      <w:pPr>
        <w:numPr>
          <w:ilvl w:val="0"/>
          <w:numId w:val="11"/>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代表处设立申请表；</w:t>
      </w:r>
    </w:p>
    <w:p>
      <w:pPr>
        <w:numPr>
          <w:ilvl w:val="0"/>
          <w:numId w:val="11"/>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可行性研究报告，内容包括申请人的基本情况、拟设代表处的目的和计划等；</w:t>
      </w:r>
    </w:p>
    <w:p>
      <w:pPr>
        <w:numPr>
          <w:ilvl w:val="0"/>
          <w:numId w:val="11"/>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申请人章程；</w:t>
      </w:r>
    </w:p>
    <w:p>
      <w:pPr>
        <w:numPr>
          <w:ilvl w:val="0"/>
          <w:numId w:val="11"/>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申请人及其所在集团的组织结构图、主要股东名单、海外分支机构和关联企业名单；</w:t>
      </w:r>
    </w:p>
    <w:p>
      <w:pPr>
        <w:numPr>
          <w:ilvl w:val="0"/>
          <w:numId w:val="11"/>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申请人最近3年年报；</w:t>
      </w:r>
    </w:p>
    <w:p>
      <w:pPr>
        <w:numPr>
          <w:ilvl w:val="0"/>
          <w:numId w:val="11"/>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申请人反洗钱制度；</w:t>
      </w:r>
    </w:p>
    <w:p>
      <w:pPr>
        <w:numPr>
          <w:ilvl w:val="0"/>
          <w:numId w:val="11"/>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申请人所在国家或者地区金融监管当局核发的营业执照或者经营金融业务许可文件的复印件及对其申请的意见书；</w:t>
      </w:r>
    </w:p>
    <w:p>
      <w:pPr>
        <w:numPr>
          <w:ilvl w:val="0"/>
          <w:numId w:val="11"/>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拟任首席代表任职资格核准所需的相关资料；</w:t>
      </w:r>
    </w:p>
    <w:p>
      <w:pPr>
        <w:numPr>
          <w:ilvl w:val="0"/>
          <w:numId w:val="11"/>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初次设立代表处的，申请人应当报送由在中国境内注册的银行业金融机构出具的与该外国银行已经建立代理行关系的证明，以及申请人所在国家或者地区金融体系情况和有关金融监管法规的摘要；</w:t>
      </w:r>
    </w:p>
    <w:p>
      <w:pPr>
        <w:numPr>
          <w:ilvl w:val="0"/>
          <w:numId w:val="11"/>
        </w:num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bookmarkStart w:id="1014" w:name="_Toc424306826"/>
    </w:p>
    <w:p>
      <w:pPr>
        <w:pStyle w:val="4"/>
        <w:adjustRightInd w:val="0"/>
        <w:snapToGrid w:val="0"/>
        <w:spacing w:before="0" w:after="0" w:line="312" w:lineRule="auto"/>
        <w:rPr>
          <w:rFonts w:hint="eastAsia" w:ascii="仿宋" w:hAnsi="仿宋" w:eastAsia="仿宋" w:cs="仿宋_GB2312"/>
          <w:sz w:val="21"/>
          <w:szCs w:val="30"/>
        </w:rPr>
      </w:pPr>
      <w:bookmarkStart w:id="1015" w:name="_Toc518836309"/>
      <w:r>
        <w:rPr>
          <w:rFonts w:ascii="仿宋" w:hAnsi="仿宋" w:eastAsia="仿宋" w:cs="仿宋_GB2312"/>
          <w:sz w:val="21"/>
          <w:szCs w:val="30"/>
        </w:rPr>
        <w:t>二、机构变更</w:t>
      </w:r>
      <w:bookmarkEnd w:id="1014"/>
      <w:bookmarkEnd w:id="1015"/>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16" w:name="_Toc424306827"/>
      <w:r>
        <w:rPr>
          <w:rFonts w:hint="eastAsia" w:ascii="仿宋" w:hAnsi="仿宋" w:eastAsia="仿宋" w:cs="仿宋_GB2312"/>
          <w:sz w:val="21"/>
          <w:szCs w:val="30"/>
        </w:rPr>
        <w:t>（一）变更注册资本或者营运资金</w:t>
      </w:r>
      <w:bookmarkEnd w:id="1016"/>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17" w:name="_Toc518836310"/>
      <w:bookmarkStart w:id="1018" w:name="_Toc424306828"/>
      <w:r>
        <w:rPr>
          <w:rStyle w:val="359"/>
          <w:rFonts w:hint="eastAsia" w:ascii="仿宋" w:hAnsi="仿宋" w:eastAsia="仿宋" w:cs="仿宋_GB2312"/>
          <w:b w:val="0"/>
          <w:bCs w:val="0"/>
          <w:sz w:val="21"/>
          <w:szCs w:val="30"/>
        </w:rPr>
        <w:t>2.1</w:t>
      </w:r>
      <w:bookmarkEnd w:id="1017"/>
      <w:r>
        <w:rPr>
          <w:rFonts w:hint="eastAsia" w:ascii="仿宋" w:hAnsi="仿宋" w:eastAsia="仿宋" w:cs="仿宋_GB2312"/>
          <w:sz w:val="21"/>
          <w:szCs w:val="30"/>
        </w:rPr>
        <w:t>外商独资银行、中外合资银行变更注册资本、外国银行分行变更营运资金审批</w:t>
      </w:r>
      <w:bookmarkEnd w:id="1018"/>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pStyle w:val="344"/>
        <w:numPr>
          <w:ilvl w:val="0"/>
          <w:numId w:val="12"/>
        </w:numPr>
        <w:adjustRightInd w:val="0"/>
        <w:snapToGrid w:val="0"/>
        <w:spacing w:before="0" w:beforeAutospacing="0" w:after="0" w:afterAutospacing="0" w:line="312" w:lineRule="auto"/>
        <w:ind w:firstLine="420" w:firstLineChars="200"/>
        <w:jc w:val="both"/>
        <w:rPr>
          <w:rFonts w:hint="eastAsia" w:ascii="仿宋" w:hAnsi="仿宋" w:eastAsia="仿宋" w:cs="仿宋_GB2312"/>
          <w:kern w:val="2"/>
          <w:sz w:val="21"/>
          <w:szCs w:val="30"/>
        </w:rPr>
      </w:pPr>
      <w:r>
        <w:rPr>
          <w:rFonts w:hint="eastAsia" w:ascii="仿宋" w:hAnsi="仿宋" w:eastAsia="仿宋" w:cs="仿宋_GB2312"/>
          <w:kern w:val="2"/>
          <w:sz w:val="21"/>
          <w:szCs w:val="30"/>
        </w:rPr>
        <w:t>申请人董事长或者行长（首席执行官、总经理）签署的申请书，申请以境外人民币资金增加注册资本或者营运资金的，应当说明人民币资金的来源；</w:t>
      </w:r>
    </w:p>
    <w:p>
      <w:pPr>
        <w:pStyle w:val="344"/>
        <w:numPr>
          <w:ilvl w:val="0"/>
          <w:numId w:val="12"/>
        </w:numPr>
        <w:adjustRightInd w:val="0"/>
        <w:snapToGrid w:val="0"/>
        <w:spacing w:before="0" w:beforeAutospacing="0" w:after="0" w:afterAutospacing="0" w:line="312" w:lineRule="auto"/>
        <w:ind w:firstLine="420" w:firstLineChars="200"/>
        <w:jc w:val="both"/>
        <w:rPr>
          <w:rFonts w:hint="eastAsia" w:ascii="仿宋" w:hAnsi="仿宋" w:eastAsia="仿宋" w:cs="仿宋_GB2312"/>
          <w:kern w:val="2"/>
          <w:sz w:val="21"/>
          <w:szCs w:val="30"/>
        </w:rPr>
      </w:pPr>
      <w:r>
        <w:rPr>
          <w:rFonts w:hint="eastAsia" w:ascii="仿宋" w:hAnsi="仿宋" w:eastAsia="仿宋" w:cs="仿宋_GB2312"/>
          <w:kern w:val="2"/>
          <w:sz w:val="21"/>
          <w:szCs w:val="30"/>
        </w:rPr>
        <w:t>可行性研究报告，内容包括变更注册资本或者营运资金后的业务发展规划、资金用途、对主要监管指标的影响等；</w:t>
      </w:r>
    </w:p>
    <w:p>
      <w:pPr>
        <w:pStyle w:val="344"/>
        <w:numPr>
          <w:ilvl w:val="0"/>
          <w:numId w:val="12"/>
        </w:numPr>
        <w:adjustRightInd w:val="0"/>
        <w:snapToGrid w:val="0"/>
        <w:spacing w:before="0" w:beforeAutospacing="0" w:after="0" w:afterAutospacing="0" w:line="312" w:lineRule="auto"/>
        <w:ind w:firstLine="420" w:firstLineChars="200"/>
        <w:jc w:val="both"/>
        <w:rPr>
          <w:rFonts w:hint="eastAsia" w:ascii="仿宋" w:hAnsi="仿宋" w:eastAsia="仿宋" w:cs="仿宋_GB2312"/>
          <w:kern w:val="2"/>
          <w:sz w:val="21"/>
          <w:szCs w:val="30"/>
        </w:rPr>
      </w:pPr>
      <w:r>
        <w:rPr>
          <w:rFonts w:hint="eastAsia" w:ascii="仿宋" w:hAnsi="仿宋" w:eastAsia="仿宋" w:cs="仿宋_GB2312"/>
          <w:kern w:val="2"/>
          <w:sz w:val="21"/>
          <w:szCs w:val="30"/>
        </w:rPr>
        <w:t>申请人及其股东关于变更注册资本的董事会决议，外国银行关于变更分行营运资金的董事会决议；</w:t>
      </w:r>
    </w:p>
    <w:p>
      <w:pPr>
        <w:pStyle w:val="344"/>
        <w:numPr>
          <w:ilvl w:val="0"/>
          <w:numId w:val="12"/>
        </w:numPr>
        <w:adjustRightInd w:val="0"/>
        <w:snapToGrid w:val="0"/>
        <w:spacing w:before="0" w:beforeAutospacing="0" w:after="0" w:afterAutospacing="0" w:line="312" w:lineRule="auto"/>
        <w:ind w:firstLine="420" w:firstLineChars="200"/>
        <w:jc w:val="both"/>
        <w:rPr>
          <w:rFonts w:hint="eastAsia" w:ascii="仿宋" w:hAnsi="仿宋" w:eastAsia="仿宋" w:cs="仿宋_GB2312"/>
          <w:kern w:val="2"/>
          <w:sz w:val="21"/>
          <w:szCs w:val="30"/>
        </w:rPr>
      </w:pPr>
      <w:r>
        <w:rPr>
          <w:rFonts w:hint="eastAsia" w:ascii="仿宋" w:hAnsi="仿宋" w:eastAsia="仿宋" w:cs="仿宋_GB2312"/>
          <w:kern w:val="2"/>
          <w:sz w:val="21"/>
          <w:szCs w:val="30"/>
        </w:rPr>
        <w:t>申请人股东及外国银行应当提交所在国家或者地区金融监管当局关于变更事项的意见书，中外合资银行中方股东为非金融机构的无须提交；</w:t>
      </w:r>
    </w:p>
    <w:p>
      <w:pPr>
        <w:pStyle w:val="344"/>
        <w:numPr>
          <w:ilvl w:val="0"/>
          <w:numId w:val="12"/>
        </w:numPr>
        <w:adjustRightInd w:val="0"/>
        <w:snapToGrid w:val="0"/>
        <w:spacing w:before="0" w:beforeAutospacing="0" w:after="0" w:afterAutospacing="0" w:line="312" w:lineRule="auto"/>
        <w:ind w:firstLine="420" w:firstLineChars="200"/>
        <w:jc w:val="both"/>
        <w:rPr>
          <w:rFonts w:hint="eastAsia" w:ascii="仿宋" w:hAnsi="仿宋" w:eastAsia="仿宋" w:cs="仿宋_GB2312"/>
          <w:kern w:val="2"/>
          <w:sz w:val="21"/>
          <w:szCs w:val="30"/>
        </w:rPr>
      </w:pPr>
      <w:r>
        <w:rPr>
          <w:rFonts w:hint="eastAsia" w:ascii="仿宋" w:hAnsi="仿宋" w:eastAsia="仿宋" w:cs="仿宋_GB2312"/>
          <w:kern w:val="2"/>
          <w:sz w:val="21"/>
          <w:szCs w:val="30"/>
        </w:rPr>
        <w:t>银监会要求的其他资料。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19" w:name="_Toc424306829"/>
      <w:r>
        <w:rPr>
          <w:rFonts w:hint="eastAsia" w:ascii="仿宋" w:hAnsi="仿宋" w:eastAsia="仿宋" w:cs="仿宋_GB2312"/>
          <w:sz w:val="21"/>
          <w:szCs w:val="30"/>
        </w:rPr>
        <w:t>（二）变更股东</w:t>
      </w:r>
      <w:bookmarkEnd w:id="1019"/>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20" w:name="_Toc518836311"/>
      <w:bookmarkStart w:id="1021" w:name="_Toc424306830"/>
      <w:r>
        <w:rPr>
          <w:rStyle w:val="359"/>
          <w:rFonts w:hint="eastAsia" w:ascii="仿宋" w:hAnsi="仿宋" w:eastAsia="仿宋" w:cs="仿宋_GB2312"/>
          <w:b w:val="0"/>
          <w:bCs w:val="0"/>
          <w:sz w:val="21"/>
          <w:szCs w:val="30"/>
        </w:rPr>
        <w:t>2.2</w:t>
      </w:r>
      <w:bookmarkEnd w:id="1020"/>
      <w:r>
        <w:rPr>
          <w:rFonts w:hint="eastAsia" w:ascii="仿宋" w:hAnsi="仿宋" w:eastAsia="仿宋" w:cs="仿宋_GB2312"/>
          <w:sz w:val="21"/>
          <w:szCs w:val="30"/>
        </w:rPr>
        <w:t>外商独资银行、中外合资银行变更股东或调整股东持股比例审批</w:t>
      </w:r>
      <w:bookmarkEnd w:id="1021"/>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pStyle w:val="344"/>
        <w:numPr>
          <w:ilvl w:val="0"/>
          <w:numId w:val="13"/>
        </w:numPr>
        <w:adjustRightInd w:val="0"/>
        <w:snapToGrid w:val="0"/>
        <w:spacing w:before="0" w:beforeAutospacing="0" w:after="0" w:afterAutospacing="0" w:line="312" w:lineRule="auto"/>
        <w:ind w:firstLine="420" w:firstLineChars="200"/>
        <w:jc w:val="both"/>
        <w:rPr>
          <w:rFonts w:hint="eastAsia" w:ascii="仿宋" w:hAnsi="仿宋" w:eastAsia="仿宋" w:cs="仿宋_GB2312"/>
          <w:kern w:val="2"/>
          <w:sz w:val="21"/>
          <w:szCs w:val="30"/>
        </w:rPr>
      </w:pPr>
      <w:r>
        <w:rPr>
          <w:rFonts w:hint="eastAsia" w:ascii="仿宋" w:hAnsi="仿宋" w:eastAsia="仿宋" w:cs="仿宋_GB2312"/>
          <w:kern w:val="2"/>
          <w:sz w:val="21"/>
          <w:szCs w:val="30"/>
        </w:rPr>
        <w:t>申请人董事长或者行长（首席执行官、总经理）签署的申请书；</w:t>
      </w:r>
    </w:p>
    <w:p>
      <w:pPr>
        <w:pStyle w:val="344"/>
        <w:numPr>
          <w:ilvl w:val="0"/>
          <w:numId w:val="13"/>
        </w:numPr>
        <w:adjustRightInd w:val="0"/>
        <w:snapToGrid w:val="0"/>
        <w:spacing w:before="0" w:beforeAutospacing="0" w:after="0" w:afterAutospacing="0" w:line="312" w:lineRule="auto"/>
        <w:ind w:firstLine="420" w:firstLineChars="200"/>
        <w:jc w:val="both"/>
        <w:rPr>
          <w:rFonts w:hint="eastAsia" w:ascii="仿宋" w:hAnsi="仿宋" w:eastAsia="仿宋" w:cs="仿宋_GB2312"/>
          <w:kern w:val="2"/>
          <w:sz w:val="21"/>
          <w:szCs w:val="30"/>
        </w:rPr>
      </w:pPr>
      <w:r>
        <w:rPr>
          <w:rFonts w:hint="eastAsia" w:ascii="仿宋" w:hAnsi="仿宋" w:eastAsia="仿宋" w:cs="仿宋_GB2312"/>
          <w:kern w:val="2"/>
          <w:sz w:val="21"/>
          <w:szCs w:val="30"/>
        </w:rPr>
        <w:t>申请人关于变更事项的董事会决议；</w:t>
      </w:r>
    </w:p>
    <w:p>
      <w:pPr>
        <w:pStyle w:val="344"/>
        <w:numPr>
          <w:ilvl w:val="0"/>
          <w:numId w:val="13"/>
        </w:numPr>
        <w:adjustRightInd w:val="0"/>
        <w:snapToGrid w:val="0"/>
        <w:spacing w:before="0" w:beforeAutospacing="0" w:after="0" w:afterAutospacing="0" w:line="312" w:lineRule="auto"/>
        <w:ind w:firstLine="420" w:firstLineChars="200"/>
        <w:jc w:val="both"/>
        <w:rPr>
          <w:rFonts w:hint="eastAsia" w:ascii="仿宋" w:hAnsi="仿宋" w:eastAsia="仿宋" w:cs="仿宋_GB2312"/>
          <w:kern w:val="2"/>
          <w:sz w:val="21"/>
          <w:szCs w:val="30"/>
        </w:rPr>
      </w:pPr>
      <w:r>
        <w:rPr>
          <w:rFonts w:hint="eastAsia" w:ascii="仿宋" w:hAnsi="仿宋" w:eastAsia="仿宋" w:cs="仿宋_GB2312"/>
          <w:kern w:val="2"/>
          <w:sz w:val="21"/>
          <w:szCs w:val="30"/>
        </w:rPr>
        <w:t>申请人股东、拟受让方或者承继方关于变更事项的董事会决议；</w:t>
      </w:r>
    </w:p>
    <w:p>
      <w:pPr>
        <w:pStyle w:val="344"/>
        <w:numPr>
          <w:ilvl w:val="0"/>
          <w:numId w:val="13"/>
        </w:numPr>
        <w:adjustRightInd w:val="0"/>
        <w:snapToGrid w:val="0"/>
        <w:spacing w:before="0" w:beforeAutospacing="0" w:after="0" w:afterAutospacing="0" w:line="312" w:lineRule="auto"/>
        <w:ind w:firstLine="420" w:firstLineChars="200"/>
        <w:jc w:val="both"/>
        <w:rPr>
          <w:rFonts w:hint="eastAsia" w:ascii="仿宋" w:hAnsi="仿宋" w:eastAsia="仿宋" w:cs="仿宋_GB2312"/>
          <w:kern w:val="2"/>
          <w:sz w:val="21"/>
          <w:szCs w:val="30"/>
        </w:rPr>
      </w:pPr>
      <w:r>
        <w:rPr>
          <w:rFonts w:hint="eastAsia" w:ascii="仿宋" w:hAnsi="仿宋" w:eastAsia="仿宋" w:cs="仿宋_GB2312"/>
          <w:kern w:val="2"/>
          <w:sz w:val="21"/>
          <w:szCs w:val="30"/>
        </w:rPr>
        <w:t>申请人股东、拟受让方或者承继方是金融机构的，应当提交所在国家或者地区金融监管当局关于变更事项的意见书；</w:t>
      </w:r>
    </w:p>
    <w:p>
      <w:pPr>
        <w:pStyle w:val="344"/>
        <w:numPr>
          <w:ilvl w:val="0"/>
          <w:numId w:val="13"/>
        </w:numPr>
        <w:adjustRightInd w:val="0"/>
        <w:snapToGrid w:val="0"/>
        <w:spacing w:before="0" w:beforeAutospacing="0" w:after="0" w:afterAutospacing="0" w:line="312" w:lineRule="auto"/>
        <w:ind w:firstLine="420" w:firstLineChars="200"/>
        <w:jc w:val="both"/>
        <w:rPr>
          <w:rFonts w:hint="eastAsia" w:ascii="仿宋" w:hAnsi="仿宋" w:eastAsia="仿宋" w:cs="仿宋_GB2312"/>
          <w:kern w:val="2"/>
          <w:sz w:val="21"/>
          <w:szCs w:val="30"/>
        </w:rPr>
      </w:pPr>
      <w:r>
        <w:rPr>
          <w:rFonts w:hint="eastAsia" w:ascii="仿宋" w:hAnsi="仿宋" w:eastAsia="仿宋" w:cs="仿宋_GB2312"/>
          <w:kern w:val="2"/>
          <w:sz w:val="21"/>
          <w:szCs w:val="30"/>
        </w:rPr>
        <w:t>申请人股权转让方与拟受让方或者承继方签署的转让（变更）协议；</w:t>
      </w:r>
    </w:p>
    <w:p>
      <w:pPr>
        <w:pStyle w:val="344"/>
        <w:numPr>
          <w:ilvl w:val="0"/>
          <w:numId w:val="13"/>
        </w:numPr>
        <w:adjustRightInd w:val="0"/>
        <w:snapToGrid w:val="0"/>
        <w:spacing w:before="0" w:beforeAutospacing="0" w:after="0" w:afterAutospacing="0" w:line="312" w:lineRule="auto"/>
        <w:ind w:firstLine="420" w:firstLineChars="200"/>
        <w:jc w:val="both"/>
        <w:rPr>
          <w:rFonts w:hint="eastAsia" w:ascii="仿宋" w:hAnsi="仿宋" w:eastAsia="仿宋" w:cs="仿宋_GB2312"/>
          <w:kern w:val="2"/>
          <w:sz w:val="21"/>
          <w:szCs w:val="30"/>
        </w:rPr>
      </w:pPr>
      <w:r>
        <w:rPr>
          <w:rFonts w:hint="eastAsia" w:ascii="仿宋" w:hAnsi="仿宋" w:eastAsia="仿宋" w:cs="仿宋_GB2312"/>
          <w:kern w:val="2"/>
          <w:sz w:val="21"/>
          <w:szCs w:val="30"/>
        </w:rPr>
        <w:t>各股东与拟受让方或者承继方签署的合资经营合同，但单一股东的外商独资银行除外；</w:t>
      </w:r>
    </w:p>
    <w:p>
      <w:pPr>
        <w:pStyle w:val="344"/>
        <w:numPr>
          <w:ilvl w:val="0"/>
          <w:numId w:val="13"/>
        </w:numPr>
        <w:adjustRightInd w:val="0"/>
        <w:snapToGrid w:val="0"/>
        <w:spacing w:before="0" w:beforeAutospacing="0" w:after="0" w:afterAutospacing="0" w:line="312" w:lineRule="auto"/>
        <w:ind w:firstLine="420" w:firstLineChars="200"/>
        <w:jc w:val="both"/>
        <w:rPr>
          <w:rFonts w:hint="eastAsia" w:ascii="仿宋" w:hAnsi="仿宋" w:eastAsia="仿宋" w:cs="仿宋_GB2312"/>
          <w:kern w:val="2"/>
          <w:sz w:val="21"/>
          <w:szCs w:val="30"/>
        </w:rPr>
      </w:pPr>
      <w:r>
        <w:rPr>
          <w:rFonts w:hint="eastAsia" w:ascii="仿宋" w:hAnsi="仿宋" w:eastAsia="仿宋" w:cs="仿宋_GB2312"/>
          <w:kern w:val="2"/>
          <w:sz w:val="21"/>
          <w:szCs w:val="30"/>
        </w:rPr>
        <w:t>拟受让方或者承继方的章程、组织结构图、主要股东名单、海外分支机构和关联企业名单、最近3年年报、反洗钱制度、所在国家或者地区金融监管当局核发的营业执照或者经营金融业务许可文件的复印件，中外合资银行拟受让中方股东为非金融机构的，无须提交反洗钱制度；</w:t>
      </w:r>
    </w:p>
    <w:p>
      <w:pPr>
        <w:pStyle w:val="344"/>
        <w:numPr>
          <w:ilvl w:val="0"/>
          <w:numId w:val="13"/>
        </w:numPr>
        <w:adjustRightInd w:val="0"/>
        <w:snapToGrid w:val="0"/>
        <w:spacing w:before="0" w:beforeAutospacing="0" w:after="0" w:afterAutospacing="0" w:line="312" w:lineRule="auto"/>
        <w:ind w:firstLine="420" w:firstLineChars="200"/>
        <w:jc w:val="both"/>
        <w:rPr>
          <w:rFonts w:hint="eastAsia" w:ascii="仿宋" w:hAnsi="仿宋" w:eastAsia="仿宋" w:cs="仿宋_GB2312"/>
          <w:kern w:val="2"/>
          <w:sz w:val="21"/>
          <w:szCs w:val="30"/>
        </w:rPr>
      </w:pPr>
      <w:r>
        <w:rPr>
          <w:rFonts w:hint="eastAsia" w:ascii="仿宋" w:hAnsi="仿宋" w:eastAsia="仿宋" w:cs="仿宋_GB2312"/>
          <w:kern w:val="2"/>
          <w:sz w:val="21"/>
          <w:szCs w:val="30"/>
        </w:rPr>
        <w:t>拟受让方或者承继方为外方股东的，应当提交所在国家或者地区金融体系情况和有关金融监管法规的摘要；</w:t>
      </w:r>
    </w:p>
    <w:p>
      <w:pPr>
        <w:pStyle w:val="344"/>
        <w:numPr>
          <w:ilvl w:val="0"/>
          <w:numId w:val="13"/>
        </w:numPr>
        <w:adjustRightInd w:val="0"/>
        <w:snapToGrid w:val="0"/>
        <w:spacing w:before="0" w:beforeAutospacing="0" w:after="0" w:afterAutospacing="0" w:line="312" w:lineRule="auto"/>
        <w:ind w:firstLine="420" w:firstLineChars="200"/>
        <w:jc w:val="both"/>
        <w:rPr>
          <w:rFonts w:hint="eastAsia" w:ascii="仿宋" w:hAnsi="仿宋" w:eastAsia="仿宋" w:cs="仿宋_GB2312"/>
          <w:kern w:val="2"/>
          <w:sz w:val="21"/>
          <w:szCs w:val="30"/>
        </w:rPr>
      </w:pPr>
      <w:r>
        <w:rPr>
          <w:rFonts w:hint="eastAsia" w:ascii="仿宋" w:hAnsi="仿宋" w:eastAsia="仿宋" w:cs="仿宋_GB2312"/>
          <w:kern w:val="2"/>
          <w:sz w:val="21"/>
          <w:szCs w:val="30"/>
        </w:rPr>
        <w:t>银监会要求的其他资料。</w:t>
      </w:r>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22" w:name="_Toc518836312"/>
      <w:bookmarkStart w:id="1023" w:name="_Toc424306831"/>
      <w:r>
        <w:rPr>
          <w:rStyle w:val="359"/>
          <w:rFonts w:hint="eastAsia" w:ascii="仿宋" w:hAnsi="仿宋" w:eastAsia="仿宋" w:cs="仿宋_GB2312"/>
          <w:b w:val="0"/>
          <w:bCs w:val="0"/>
          <w:sz w:val="21"/>
          <w:szCs w:val="30"/>
        </w:rPr>
        <w:t>2.3</w:t>
      </w:r>
      <w:bookmarkEnd w:id="1022"/>
      <w:r>
        <w:rPr>
          <w:rFonts w:hint="eastAsia" w:ascii="仿宋" w:hAnsi="仿宋" w:eastAsia="仿宋" w:cs="仿宋_GB2312"/>
          <w:sz w:val="21"/>
          <w:szCs w:val="30"/>
        </w:rPr>
        <w:t>外商独资银行、中外合资银行变更组织形式、合并、分立审批</w:t>
      </w:r>
      <w:bookmarkEnd w:id="1023"/>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1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申请人董事长或者行长（首席执行官、总经理）签署的申请书；</w:t>
      </w:r>
    </w:p>
    <w:p>
      <w:pPr>
        <w:numPr>
          <w:ilvl w:val="0"/>
          <w:numId w:val="1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关于变更组织形式、合并、分立的方案；</w:t>
      </w:r>
    </w:p>
    <w:p>
      <w:pPr>
        <w:numPr>
          <w:ilvl w:val="0"/>
          <w:numId w:val="1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申请人各方及其股东关于变更事项的董事会决议；</w:t>
      </w:r>
    </w:p>
    <w:p>
      <w:pPr>
        <w:numPr>
          <w:ilvl w:val="0"/>
          <w:numId w:val="1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申请人各方股东应当提交所在国家或者地区金融监管当局关于变更事项的意见书，中外合资银行中方股东为非金融机构的无须提交；</w:t>
      </w:r>
    </w:p>
    <w:p>
      <w:pPr>
        <w:numPr>
          <w:ilvl w:val="0"/>
          <w:numId w:val="1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申请人各方股东签署的合并、分立协议；申请人各方股东签署的合资经营合同，但单一股东的外商独资银行除外；申请人各方股东的章程、组织结构图、董事会及主要股东名单、最近1年年报；</w:t>
      </w:r>
    </w:p>
    <w:p>
      <w:pPr>
        <w:numPr>
          <w:ilvl w:val="0"/>
          <w:numId w:val="1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变更组织形式、合并、分立后银行的章程草案；</w:t>
      </w:r>
    </w:p>
    <w:p>
      <w:pPr>
        <w:numPr>
          <w:ilvl w:val="0"/>
          <w:numId w:val="1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numPr>
          <w:ilvl w:val="0"/>
          <w:numId w:val="1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吸收合并的，吸收合并方应当按照变更的条件和材料要求向银监会提交合并筹备和合并开业的申请；被吸收方自行终止的，应当按照终止的条件和材料要求向银监会提交申请；被吸收方变更为分支机构的，应当按照设立的条件和材料要求向银监会提交申请。</w:t>
      </w:r>
    </w:p>
    <w:p>
      <w:pPr>
        <w:numPr>
          <w:ilvl w:val="0"/>
          <w:numId w:val="1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新设合并的，新设方应当按照设立的条件和材料要求向银监会提交合并筹备和合并开业的申请；原外商独资银行、中外合资银行应当按照终止的条件和材料要求向银监会提交申请。</w:t>
      </w:r>
    </w:p>
    <w:p>
      <w:pPr>
        <w:numPr>
          <w:ilvl w:val="0"/>
          <w:numId w:val="1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存续分立的，存续方应当按照变更的条件和材料要求向银监会提交分立筹备和分立开业的申请；新设方应当按照设立的条件和材料要求向银监会提交申请。</w:t>
      </w:r>
    </w:p>
    <w:p>
      <w:pPr>
        <w:numPr>
          <w:ilvl w:val="0"/>
          <w:numId w:val="1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新设分立的，新设方应当按照设立的条件和材料要求向银监会提交分立筹备和分立开业的申请；原外商独资银行、中外合资银行应当按照解散的条件和材料要求向银监会提交申请。</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24" w:name="_Toc424306832"/>
      <w:r>
        <w:rPr>
          <w:rFonts w:hint="eastAsia" w:ascii="仿宋" w:hAnsi="仿宋" w:eastAsia="仿宋" w:cs="仿宋_GB2312"/>
          <w:sz w:val="21"/>
          <w:szCs w:val="30"/>
        </w:rPr>
        <w:t>（三）修改章程</w:t>
      </w:r>
      <w:bookmarkEnd w:id="1024"/>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25" w:name="_Toc518836313"/>
      <w:bookmarkStart w:id="1026" w:name="_Toc424306833"/>
      <w:r>
        <w:rPr>
          <w:rStyle w:val="359"/>
          <w:rFonts w:hint="eastAsia" w:ascii="仿宋" w:hAnsi="仿宋" w:eastAsia="仿宋" w:cs="仿宋_GB2312"/>
          <w:b w:val="0"/>
          <w:bCs w:val="0"/>
          <w:sz w:val="21"/>
          <w:szCs w:val="30"/>
        </w:rPr>
        <w:t>2.4</w:t>
      </w:r>
      <w:bookmarkEnd w:id="1025"/>
      <w:r>
        <w:rPr>
          <w:rFonts w:hint="eastAsia" w:ascii="仿宋" w:hAnsi="仿宋" w:eastAsia="仿宋" w:cs="仿宋_GB2312"/>
          <w:sz w:val="21"/>
          <w:szCs w:val="30"/>
        </w:rPr>
        <w:t>外商独资银行、中外合资银行修改章程审批</w:t>
      </w:r>
      <w:bookmarkEnd w:id="1026"/>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15"/>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申请人董事长或者行长（首席执行官、总经理）签署的申请书；</w:t>
      </w:r>
    </w:p>
    <w:p>
      <w:pPr>
        <w:numPr>
          <w:ilvl w:val="0"/>
          <w:numId w:val="15"/>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申请人关于修改章程的董事会决议；</w:t>
      </w:r>
    </w:p>
    <w:p>
      <w:pPr>
        <w:numPr>
          <w:ilvl w:val="0"/>
          <w:numId w:val="15"/>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申请人股东关于修改章程的董事会决议；</w:t>
      </w:r>
    </w:p>
    <w:p>
      <w:pPr>
        <w:numPr>
          <w:ilvl w:val="0"/>
          <w:numId w:val="15"/>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申请人的原章程和新章程草案；</w:t>
      </w:r>
    </w:p>
    <w:p>
      <w:pPr>
        <w:numPr>
          <w:ilvl w:val="0"/>
          <w:numId w:val="15"/>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原章程与新章程草案变动对照表；</w:t>
      </w:r>
    </w:p>
    <w:p>
      <w:pPr>
        <w:numPr>
          <w:ilvl w:val="0"/>
          <w:numId w:val="15"/>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在中国境内依法设立的律师事务所出具的对新章程草案的法律意见书；</w:t>
      </w:r>
    </w:p>
    <w:p>
      <w:pPr>
        <w:numPr>
          <w:ilvl w:val="0"/>
          <w:numId w:val="15"/>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27" w:name="_Toc424306834"/>
      <w:r>
        <w:rPr>
          <w:rFonts w:hint="eastAsia" w:ascii="仿宋" w:hAnsi="仿宋" w:eastAsia="仿宋" w:cs="仿宋_GB2312"/>
          <w:sz w:val="21"/>
          <w:szCs w:val="30"/>
        </w:rPr>
        <w:t>（四）变更名称</w:t>
      </w:r>
      <w:bookmarkEnd w:id="1027"/>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28" w:name="_Toc518836314"/>
      <w:bookmarkStart w:id="1029" w:name="_Toc424306835"/>
      <w:r>
        <w:rPr>
          <w:rStyle w:val="359"/>
          <w:rFonts w:hint="eastAsia" w:ascii="仿宋" w:hAnsi="仿宋" w:eastAsia="仿宋" w:cs="仿宋_GB2312"/>
          <w:b w:val="0"/>
          <w:bCs w:val="0"/>
          <w:sz w:val="21"/>
          <w:szCs w:val="30"/>
        </w:rPr>
        <w:t>2.5</w:t>
      </w:r>
      <w:bookmarkEnd w:id="1028"/>
      <w:r>
        <w:rPr>
          <w:rFonts w:hint="eastAsia" w:ascii="仿宋" w:hAnsi="仿宋" w:eastAsia="仿宋" w:cs="仿宋_GB2312"/>
          <w:sz w:val="21"/>
          <w:szCs w:val="30"/>
        </w:rPr>
        <w:t>外资银行变更名称审批</w:t>
      </w:r>
      <w:bookmarkEnd w:id="1029"/>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因合并、分立、重组等原因申请变更其在中国境内机构名称提供如下申请材料：</w:t>
      </w:r>
    </w:p>
    <w:p>
      <w:pPr>
        <w:numPr>
          <w:ilvl w:val="0"/>
          <w:numId w:val="16"/>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申请人董事长或者行长（首席执行官、总经理）签署的申请书；</w:t>
      </w:r>
    </w:p>
    <w:p>
      <w:pPr>
        <w:numPr>
          <w:ilvl w:val="0"/>
          <w:numId w:val="16"/>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变更名称申请表；</w:t>
      </w:r>
    </w:p>
    <w:p>
      <w:pPr>
        <w:numPr>
          <w:ilvl w:val="0"/>
          <w:numId w:val="16"/>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外商独资银行股东、中外合资银行股东、外国银行的章程；</w:t>
      </w:r>
    </w:p>
    <w:p>
      <w:pPr>
        <w:numPr>
          <w:ilvl w:val="0"/>
          <w:numId w:val="16"/>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外商独资银行股东、中外合资银行股东、外国银行的组织结构图、董事会以及主要股东名单；</w:t>
      </w:r>
    </w:p>
    <w:p>
      <w:pPr>
        <w:numPr>
          <w:ilvl w:val="0"/>
          <w:numId w:val="16"/>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外国银行董事长或者行长（首席执行官、总经理）签署的对其在中国境内分行承担税务、债务责任的保证书；</w:t>
      </w:r>
    </w:p>
    <w:p>
      <w:pPr>
        <w:numPr>
          <w:ilvl w:val="0"/>
          <w:numId w:val="16"/>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外商独资银行股东、中外合资银行股东、外国银行的合并财务会计报告；</w:t>
      </w:r>
    </w:p>
    <w:p>
      <w:pPr>
        <w:numPr>
          <w:ilvl w:val="0"/>
          <w:numId w:val="16"/>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外商独资银行股东、中外合资银行股东、外国银行所在国家或者地区金融监管当局对变更事项的批准书以及对其申请的意见书；</w:t>
      </w:r>
    </w:p>
    <w:p>
      <w:pPr>
        <w:numPr>
          <w:ilvl w:val="0"/>
          <w:numId w:val="16"/>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外商独资银行股东、中外合资银行股东、外国银行更名后，所在国家或者地区金融监管当局核发的营业执照复印件或者经营金融业务许可文件复印件；</w:t>
      </w:r>
    </w:p>
    <w:p>
      <w:pPr>
        <w:numPr>
          <w:ilvl w:val="0"/>
          <w:numId w:val="16"/>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因其他原因申请变更其在中国境内机构名称提供如下申请材料：</w:t>
      </w:r>
    </w:p>
    <w:p>
      <w:pPr>
        <w:numPr>
          <w:ilvl w:val="0"/>
          <w:numId w:val="1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申请人董事长或者行长（首席执行官、总经理）签署的申请书；</w:t>
      </w:r>
    </w:p>
    <w:p>
      <w:pPr>
        <w:numPr>
          <w:ilvl w:val="0"/>
          <w:numId w:val="1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外商独资银行股东、中外合资银行股东、外国银行更名后所在国家或者地区金融监管当局核发的营业执照复印件或者经营金融业务许可文件复印件；</w:t>
      </w:r>
    </w:p>
    <w:p>
      <w:pPr>
        <w:numPr>
          <w:ilvl w:val="0"/>
          <w:numId w:val="1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外商独资银行股东、中外合资银行股东、外国银行所在国家或者地区金融监管当局对变更事项的批准书以及对其申请的意见书；</w:t>
      </w:r>
    </w:p>
    <w:p>
      <w:pPr>
        <w:numPr>
          <w:ilvl w:val="0"/>
          <w:numId w:val="1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上述第（2）、（3）项不适用外资银行名称未变更、仅变更在中国境内机构名称的情形。</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30" w:name="_Toc424306836"/>
      <w:r>
        <w:rPr>
          <w:rFonts w:hint="eastAsia" w:ascii="仿宋" w:hAnsi="仿宋" w:eastAsia="仿宋" w:cs="仿宋_GB2312"/>
          <w:sz w:val="21"/>
          <w:szCs w:val="30"/>
        </w:rPr>
        <w:t>（五）在同城内变更住所或者办公场所</w:t>
      </w:r>
      <w:bookmarkEnd w:id="1030"/>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31" w:name="_Toc518836315"/>
      <w:bookmarkStart w:id="1032" w:name="_Toc424306837"/>
      <w:r>
        <w:rPr>
          <w:rStyle w:val="359"/>
          <w:rFonts w:hint="eastAsia" w:ascii="仿宋" w:hAnsi="仿宋" w:eastAsia="仿宋" w:cs="仿宋_GB2312"/>
          <w:b w:val="0"/>
          <w:bCs w:val="0"/>
          <w:sz w:val="21"/>
          <w:szCs w:val="30"/>
        </w:rPr>
        <w:t>2.6</w:t>
      </w:r>
      <w:bookmarkEnd w:id="1031"/>
      <w:r>
        <w:rPr>
          <w:rFonts w:hint="eastAsia" w:ascii="仿宋" w:hAnsi="仿宋" w:eastAsia="仿宋" w:cs="仿宋_GB2312"/>
          <w:sz w:val="21"/>
          <w:szCs w:val="30"/>
        </w:rPr>
        <w:t>外商独资银行、中外合资银行在同城内变更住所、外国银行代表处在同城内变更办公场所审批</w:t>
      </w:r>
      <w:bookmarkEnd w:id="1032"/>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18"/>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申请人授权签字人签署的申请书；</w:t>
      </w:r>
    </w:p>
    <w:p>
      <w:pPr>
        <w:numPr>
          <w:ilvl w:val="0"/>
          <w:numId w:val="18"/>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拟迁入住所或者办公场所的所有权证明、使用权证明或者租赁合同的复印件；</w:t>
      </w:r>
    </w:p>
    <w:p>
      <w:pPr>
        <w:numPr>
          <w:ilvl w:val="0"/>
          <w:numId w:val="18"/>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拟迁入住所的安全、消防设施的合格证明或者相关证明复印件；</w:t>
      </w:r>
    </w:p>
    <w:p>
      <w:pPr>
        <w:numPr>
          <w:ilvl w:val="0"/>
          <w:numId w:val="18"/>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bookmarkStart w:id="1033" w:name="_Toc424306838"/>
    </w:p>
    <w:p>
      <w:pPr>
        <w:pStyle w:val="4"/>
        <w:adjustRightInd w:val="0"/>
        <w:snapToGrid w:val="0"/>
        <w:spacing w:before="0" w:after="0" w:line="312" w:lineRule="auto"/>
        <w:rPr>
          <w:rFonts w:hint="eastAsia" w:ascii="仿宋" w:hAnsi="仿宋" w:eastAsia="仿宋" w:cs="仿宋_GB2312"/>
          <w:sz w:val="21"/>
          <w:szCs w:val="30"/>
        </w:rPr>
      </w:pPr>
      <w:bookmarkStart w:id="1034" w:name="_Toc518836316"/>
      <w:r>
        <w:rPr>
          <w:rFonts w:ascii="仿宋" w:hAnsi="仿宋" w:eastAsia="仿宋" w:cs="仿宋_GB2312"/>
          <w:sz w:val="21"/>
          <w:szCs w:val="30"/>
        </w:rPr>
        <w:t>三、机构终止</w:t>
      </w:r>
      <w:bookmarkEnd w:id="1033"/>
      <w:bookmarkEnd w:id="1034"/>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35" w:name="_Toc424306839"/>
      <w:r>
        <w:rPr>
          <w:rFonts w:hint="eastAsia" w:ascii="仿宋" w:hAnsi="仿宋" w:eastAsia="仿宋" w:cs="仿宋_GB2312"/>
          <w:sz w:val="21"/>
          <w:szCs w:val="30"/>
        </w:rPr>
        <w:t>（一）外商独资银行、中外合资银行解散</w:t>
      </w:r>
      <w:bookmarkEnd w:id="1035"/>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36" w:name="_Toc518836317"/>
      <w:bookmarkStart w:id="1037" w:name="_Toc424306840"/>
      <w:r>
        <w:rPr>
          <w:rStyle w:val="359"/>
          <w:rFonts w:hint="eastAsia" w:ascii="仿宋" w:hAnsi="仿宋" w:eastAsia="仿宋" w:cs="仿宋_GB2312"/>
          <w:b w:val="0"/>
          <w:bCs w:val="0"/>
          <w:sz w:val="21"/>
          <w:szCs w:val="30"/>
        </w:rPr>
        <w:t>3.1</w:t>
      </w:r>
      <w:bookmarkEnd w:id="1036"/>
      <w:r>
        <w:rPr>
          <w:rFonts w:hint="eastAsia" w:ascii="仿宋" w:hAnsi="仿宋" w:eastAsia="仿宋" w:cs="仿宋_GB2312"/>
          <w:sz w:val="21"/>
          <w:szCs w:val="30"/>
        </w:rPr>
        <w:t>外商独资银行、中外合资银行解散审批</w:t>
      </w:r>
      <w:bookmarkEnd w:id="1037"/>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19"/>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申请人董事长或者行长（首席执行官、总经理）签署的申请书；</w:t>
      </w:r>
    </w:p>
    <w:p>
      <w:pPr>
        <w:numPr>
          <w:ilvl w:val="0"/>
          <w:numId w:val="19"/>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申请人关于解散的董事会决议；</w:t>
      </w:r>
    </w:p>
    <w:p>
      <w:pPr>
        <w:numPr>
          <w:ilvl w:val="0"/>
          <w:numId w:val="19"/>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申请人各股东关于外商独资银行、中外合资银行解散的董事会决议；</w:t>
      </w:r>
    </w:p>
    <w:p>
      <w:pPr>
        <w:numPr>
          <w:ilvl w:val="0"/>
          <w:numId w:val="19"/>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外商独资银行股东、中外合资银行外方股东所在国家或者地区金融监管当局关于该机构解散的意见书；</w:t>
      </w:r>
    </w:p>
    <w:p>
      <w:pPr>
        <w:numPr>
          <w:ilvl w:val="0"/>
          <w:numId w:val="19"/>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关于外商独资银行、中外合资银行解散后资产处置、债务清偿、人员安置的计划和负责后续事项的人员名单及联系方式；</w:t>
      </w:r>
    </w:p>
    <w:p>
      <w:pPr>
        <w:numPr>
          <w:ilvl w:val="0"/>
          <w:numId w:val="19"/>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38" w:name="_Toc424306841"/>
      <w:r>
        <w:rPr>
          <w:rFonts w:hint="eastAsia" w:ascii="仿宋" w:hAnsi="仿宋" w:eastAsia="仿宋" w:cs="仿宋_GB2312"/>
          <w:sz w:val="21"/>
          <w:szCs w:val="30"/>
        </w:rPr>
        <w:t>（二）破产</w:t>
      </w:r>
      <w:bookmarkEnd w:id="1038"/>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39" w:name="_Toc518836318"/>
      <w:bookmarkStart w:id="1040" w:name="_Toc424306842"/>
      <w:r>
        <w:rPr>
          <w:rStyle w:val="359"/>
          <w:rFonts w:hint="eastAsia" w:ascii="仿宋" w:hAnsi="仿宋" w:eastAsia="仿宋" w:cs="仿宋_GB2312"/>
          <w:b w:val="0"/>
          <w:bCs w:val="0"/>
          <w:sz w:val="21"/>
          <w:szCs w:val="30"/>
        </w:rPr>
        <w:t>3.2</w:t>
      </w:r>
      <w:bookmarkEnd w:id="1039"/>
      <w:r>
        <w:rPr>
          <w:rFonts w:hint="eastAsia" w:ascii="仿宋" w:hAnsi="仿宋" w:eastAsia="仿宋" w:cs="仿宋_GB2312"/>
          <w:sz w:val="21"/>
          <w:szCs w:val="30"/>
        </w:rPr>
        <w:t>外商独资银行、中外合资银行破产前审批</w:t>
      </w:r>
      <w:bookmarkEnd w:id="1040"/>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2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申请人董事长或者行长（首席执行官、总经理）或者清算组组长签署的申请书；</w:t>
      </w:r>
    </w:p>
    <w:p>
      <w:pPr>
        <w:numPr>
          <w:ilvl w:val="0"/>
          <w:numId w:val="2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申请人关于破产的董事会决议；</w:t>
      </w:r>
    </w:p>
    <w:p>
      <w:pPr>
        <w:numPr>
          <w:ilvl w:val="0"/>
          <w:numId w:val="2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各股东关于外商独资银行、中外合资银行破产的董事会决议；</w:t>
      </w:r>
    </w:p>
    <w:p>
      <w:pPr>
        <w:numPr>
          <w:ilvl w:val="0"/>
          <w:numId w:val="2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外商独资银行股东、中外合资银行外方股东所在国家或者地区金融监管当局关于破产的意见书；</w:t>
      </w:r>
    </w:p>
    <w:p>
      <w:pPr>
        <w:numPr>
          <w:ilvl w:val="0"/>
          <w:numId w:val="2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上述第（2）、（3）、（4）项不适用由清算组提出破产申请的情形。</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41" w:name="_Toc424306843"/>
      <w:r>
        <w:rPr>
          <w:rFonts w:hint="eastAsia" w:ascii="仿宋" w:hAnsi="仿宋" w:eastAsia="仿宋" w:cs="仿宋_GB2312"/>
          <w:sz w:val="21"/>
          <w:szCs w:val="30"/>
        </w:rPr>
        <w:t>（三）分行关闭</w:t>
      </w:r>
      <w:bookmarkEnd w:id="1041"/>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42" w:name="_Toc518836319"/>
      <w:bookmarkStart w:id="1043" w:name="_Toc424306844"/>
      <w:r>
        <w:rPr>
          <w:rStyle w:val="359"/>
          <w:rFonts w:hint="eastAsia" w:ascii="仿宋" w:hAnsi="仿宋" w:eastAsia="仿宋" w:cs="仿宋_GB2312"/>
          <w:b w:val="0"/>
          <w:bCs w:val="0"/>
          <w:sz w:val="21"/>
          <w:szCs w:val="30"/>
        </w:rPr>
        <w:t>3.3</w:t>
      </w:r>
      <w:bookmarkEnd w:id="1042"/>
      <w:r>
        <w:rPr>
          <w:rFonts w:hint="eastAsia" w:ascii="仿宋" w:hAnsi="仿宋" w:eastAsia="仿宋" w:cs="仿宋_GB2312"/>
          <w:sz w:val="21"/>
          <w:szCs w:val="30"/>
        </w:rPr>
        <w:t>外商独资银行、中外合资银行、外国银行关闭分行审批</w:t>
      </w:r>
      <w:bookmarkEnd w:id="1043"/>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2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申请人董事长或者行长（首席执行官、总经理）签署的申请书；</w:t>
      </w:r>
    </w:p>
    <w:p>
      <w:pPr>
        <w:numPr>
          <w:ilvl w:val="0"/>
          <w:numId w:val="2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申请人关于关闭分行的董事会决议；</w:t>
      </w:r>
    </w:p>
    <w:p>
      <w:pPr>
        <w:numPr>
          <w:ilvl w:val="0"/>
          <w:numId w:val="2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外国银行所在国家或者地区金融监管当局对其申请的意见书；</w:t>
      </w:r>
    </w:p>
    <w:p>
      <w:pPr>
        <w:numPr>
          <w:ilvl w:val="0"/>
          <w:numId w:val="2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关于拟关闭机构的资产处置、债务清偿、人员安置的计划和负责后续事项的人员名单及联系方式；</w:t>
      </w:r>
    </w:p>
    <w:p>
      <w:pPr>
        <w:numPr>
          <w:ilvl w:val="0"/>
          <w:numId w:val="2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44" w:name="_Toc518836320"/>
      <w:bookmarkStart w:id="1045" w:name="_Toc424306845"/>
      <w:r>
        <w:rPr>
          <w:rStyle w:val="359"/>
          <w:rFonts w:hint="eastAsia" w:ascii="仿宋" w:hAnsi="仿宋" w:eastAsia="仿宋" w:cs="仿宋_GB2312"/>
          <w:b w:val="0"/>
          <w:bCs w:val="0"/>
          <w:sz w:val="21"/>
          <w:szCs w:val="30"/>
        </w:rPr>
        <w:t>3.4</w:t>
      </w:r>
      <w:bookmarkEnd w:id="1044"/>
      <w:r>
        <w:rPr>
          <w:rFonts w:hint="eastAsia" w:ascii="仿宋" w:hAnsi="仿宋" w:eastAsia="仿宋" w:cs="仿宋_GB2312"/>
          <w:sz w:val="21"/>
          <w:szCs w:val="30"/>
        </w:rPr>
        <w:t>经批准关闭的外国银行分行提取生息资产审批</w:t>
      </w:r>
      <w:bookmarkEnd w:id="1045"/>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22"/>
        </w:numPr>
        <w:tabs>
          <w:tab w:val="left" w:pos="425"/>
        </w:tabs>
        <w:adjustRightInd w:val="0"/>
        <w:snapToGrid w:val="0"/>
        <w:spacing w:line="312" w:lineRule="auto"/>
        <w:ind w:firstLine="420" w:firstLineChars="200"/>
        <w:rPr>
          <w:rFonts w:hint="eastAsia" w:ascii="仿宋" w:hAnsi="仿宋" w:eastAsia="仿宋" w:cs="仿宋_GB2312"/>
          <w:szCs w:val="30"/>
        </w:rPr>
      </w:pPr>
      <w:bookmarkStart w:id="1046" w:name="_Toc424306846"/>
      <w:r>
        <w:rPr>
          <w:rFonts w:hint="eastAsia" w:ascii="仿宋" w:hAnsi="仿宋" w:eastAsia="仿宋" w:cs="仿宋_GB2312"/>
          <w:szCs w:val="30"/>
        </w:rPr>
        <w:t>清算组组长签署的申请书；</w:t>
      </w:r>
    </w:p>
    <w:p>
      <w:pPr>
        <w:numPr>
          <w:ilvl w:val="0"/>
          <w:numId w:val="2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关于清算情况的报告；</w:t>
      </w:r>
    </w:p>
    <w:p>
      <w:pPr>
        <w:numPr>
          <w:ilvl w:val="0"/>
          <w:numId w:val="2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r>
        <w:rPr>
          <w:rFonts w:hint="eastAsia" w:ascii="仿宋" w:hAnsi="仿宋" w:eastAsia="仿宋" w:cs="仿宋_GB2312"/>
          <w:sz w:val="21"/>
          <w:szCs w:val="30"/>
        </w:rPr>
        <w:t>（四）外国银行分行关闭并在同一城市设立代表处</w:t>
      </w:r>
      <w:bookmarkEnd w:id="1046"/>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47" w:name="_Toc518836321"/>
      <w:bookmarkStart w:id="1048" w:name="_Toc424306847"/>
      <w:r>
        <w:rPr>
          <w:rStyle w:val="359"/>
          <w:rFonts w:hint="eastAsia" w:ascii="仿宋" w:hAnsi="仿宋" w:eastAsia="仿宋" w:cs="仿宋_GB2312"/>
          <w:b w:val="0"/>
          <w:bCs w:val="0"/>
          <w:sz w:val="21"/>
          <w:szCs w:val="30"/>
        </w:rPr>
        <w:t>3.5</w:t>
      </w:r>
      <w:bookmarkEnd w:id="1047"/>
      <w:r>
        <w:rPr>
          <w:rFonts w:hint="eastAsia" w:ascii="仿宋" w:hAnsi="仿宋" w:eastAsia="仿宋" w:cs="仿宋_GB2312"/>
          <w:sz w:val="21"/>
          <w:szCs w:val="30"/>
        </w:rPr>
        <w:t>外国银行关闭中国境内分行并在同一城市设立代表处审批</w:t>
      </w:r>
      <w:bookmarkEnd w:id="1048"/>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23"/>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申请人董事长或者行长（首席执行官、总经理）签署的申请书；</w:t>
      </w:r>
    </w:p>
    <w:p>
      <w:pPr>
        <w:numPr>
          <w:ilvl w:val="0"/>
          <w:numId w:val="23"/>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申请人关于关闭分行并在同一城市设立代表处的董事会决议；</w:t>
      </w:r>
    </w:p>
    <w:p>
      <w:pPr>
        <w:numPr>
          <w:ilvl w:val="0"/>
          <w:numId w:val="23"/>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外国银行所在国家或者地区金融监管当局对其申请的意见书；</w:t>
      </w:r>
    </w:p>
    <w:p>
      <w:pPr>
        <w:numPr>
          <w:ilvl w:val="0"/>
          <w:numId w:val="23"/>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拟关闭分行资产处置、债务清偿、人员安置的计划和负责后续事项的人员名单及联系方式；</w:t>
      </w:r>
    </w:p>
    <w:p>
      <w:pPr>
        <w:numPr>
          <w:ilvl w:val="0"/>
          <w:numId w:val="23"/>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拟任首席代表任职资格核准所需的相关资料；</w:t>
      </w:r>
    </w:p>
    <w:p>
      <w:pPr>
        <w:numPr>
          <w:ilvl w:val="0"/>
          <w:numId w:val="23"/>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49" w:name="_Toc424306848"/>
      <w:r>
        <w:rPr>
          <w:rFonts w:hint="eastAsia" w:ascii="仿宋" w:hAnsi="仿宋" w:eastAsia="仿宋" w:cs="仿宋_GB2312"/>
          <w:sz w:val="21"/>
          <w:szCs w:val="30"/>
        </w:rPr>
        <w:t>（五）支行关闭</w:t>
      </w:r>
      <w:bookmarkEnd w:id="1049"/>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50" w:name="_Toc518836322"/>
      <w:bookmarkStart w:id="1051" w:name="_Toc424306849"/>
      <w:r>
        <w:rPr>
          <w:rStyle w:val="359"/>
          <w:rFonts w:hint="eastAsia" w:ascii="仿宋" w:hAnsi="仿宋" w:eastAsia="仿宋" w:cs="仿宋_GB2312"/>
          <w:b w:val="0"/>
          <w:bCs w:val="0"/>
          <w:sz w:val="21"/>
          <w:szCs w:val="30"/>
        </w:rPr>
        <w:t>3.6</w:t>
      </w:r>
      <w:bookmarkEnd w:id="1050"/>
      <w:r>
        <w:rPr>
          <w:rFonts w:hint="eastAsia" w:ascii="仿宋" w:hAnsi="仿宋" w:eastAsia="仿宋" w:cs="仿宋_GB2312"/>
          <w:sz w:val="21"/>
          <w:szCs w:val="30"/>
        </w:rPr>
        <w:t>外商独资银行、中外合资银行、外国银行关闭支行审批</w:t>
      </w:r>
      <w:bookmarkEnd w:id="1051"/>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2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申请人授权签字人签署的申请书；</w:t>
      </w:r>
    </w:p>
    <w:p>
      <w:pPr>
        <w:numPr>
          <w:ilvl w:val="0"/>
          <w:numId w:val="2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申请人关于关闭支行的董事会决议；</w:t>
      </w:r>
    </w:p>
    <w:p>
      <w:pPr>
        <w:numPr>
          <w:ilvl w:val="0"/>
          <w:numId w:val="2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拟关闭支行资产处置、债务清偿、人员安置的计划和负责后续事项的人员名单及联系方式；</w:t>
      </w:r>
    </w:p>
    <w:p>
      <w:pPr>
        <w:numPr>
          <w:ilvl w:val="0"/>
          <w:numId w:val="2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52" w:name="_Toc424306850"/>
      <w:r>
        <w:rPr>
          <w:rFonts w:hint="eastAsia" w:ascii="仿宋" w:hAnsi="仿宋" w:eastAsia="仿宋" w:cs="仿宋_GB2312"/>
          <w:sz w:val="21"/>
          <w:szCs w:val="30"/>
        </w:rPr>
        <w:t>（六）代表处关闭</w:t>
      </w:r>
      <w:bookmarkEnd w:id="1052"/>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53" w:name="_Toc518836323"/>
      <w:bookmarkStart w:id="1054" w:name="_Toc424306851"/>
      <w:r>
        <w:rPr>
          <w:rStyle w:val="359"/>
          <w:rFonts w:hint="eastAsia" w:ascii="仿宋" w:hAnsi="仿宋" w:eastAsia="仿宋" w:cs="仿宋_GB2312"/>
          <w:b w:val="0"/>
          <w:bCs w:val="0"/>
          <w:sz w:val="21"/>
          <w:szCs w:val="30"/>
        </w:rPr>
        <w:t>3.7</w:t>
      </w:r>
      <w:bookmarkEnd w:id="1053"/>
      <w:r>
        <w:rPr>
          <w:rFonts w:hint="eastAsia" w:ascii="仿宋" w:hAnsi="仿宋" w:eastAsia="仿宋" w:cs="仿宋_GB2312"/>
          <w:sz w:val="21"/>
          <w:szCs w:val="30"/>
        </w:rPr>
        <w:t>外国银行代表处关闭审批</w:t>
      </w:r>
      <w:bookmarkEnd w:id="1054"/>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25"/>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申请人董事长或者行长（首席执行官、总经理）签署的申请书，特殊情况下，该申请书可以由授权签字人签署；</w:t>
      </w:r>
    </w:p>
    <w:p>
      <w:pPr>
        <w:numPr>
          <w:ilvl w:val="0"/>
          <w:numId w:val="25"/>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申请人关于关闭代表处的董事会决议；</w:t>
      </w:r>
    </w:p>
    <w:p>
      <w:pPr>
        <w:numPr>
          <w:ilvl w:val="0"/>
          <w:numId w:val="25"/>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所在国家或地区金融监管当局对其申请的意见书；</w:t>
      </w:r>
    </w:p>
    <w:p>
      <w:pPr>
        <w:numPr>
          <w:ilvl w:val="0"/>
          <w:numId w:val="25"/>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代表处关闭方案、人员安置计划和负责后续事项的人员名单及联系方式；</w:t>
      </w:r>
    </w:p>
    <w:p>
      <w:pPr>
        <w:numPr>
          <w:ilvl w:val="0"/>
          <w:numId w:val="25"/>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bookmarkStart w:id="1055" w:name="_Toc424306852"/>
    </w:p>
    <w:p>
      <w:pPr>
        <w:pStyle w:val="4"/>
        <w:adjustRightInd w:val="0"/>
        <w:snapToGrid w:val="0"/>
        <w:spacing w:before="0" w:after="0" w:line="312" w:lineRule="auto"/>
        <w:rPr>
          <w:rFonts w:hint="eastAsia" w:ascii="仿宋" w:hAnsi="仿宋" w:eastAsia="仿宋" w:cs="仿宋_GB2312"/>
          <w:sz w:val="21"/>
          <w:szCs w:val="30"/>
        </w:rPr>
      </w:pPr>
      <w:bookmarkStart w:id="1056" w:name="_Toc518836324"/>
      <w:r>
        <w:rPr>
          <w:rFonts w:ascii="仿宋" w:hAnsi="仿宋" w:eastAsia="仿宋" w:cs="仿宋_GB2312"/>
          <w:sz w:val="21"/>
          <w:szCs w:val="30"/>
        </w:rPr>
        <w:t>四、业务范围</w:t>
      </w:r>
      <w:bookmarkEnd w:id="1055"/>
      <w:bookmarkEnd w:id="1056"/>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57" w:name="_Toc424306853"/>
      <w:r>
        <w:rPr>
          <w:rFonts w:hint="eastAsia" w:ascii="仿宋" w:hAnsi="仿宋" w:eastAsia="仿宋" w:cs="仿宋_GB2312"/>
          <w:sz w:val="21"/>
          <w:szCs w:val="30"/>
        </w:rPr>
        <w:t>（一）开办人民币业务</w:t>
      </w:r>
      <w:bookmarkEnd w:id="1057"/>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58" w:name="_Toc518836325"/>
      <w:bookmarkStart w:id="1059" w:name="_Toc424306854"/>
      <w:r>
        <w:rPr>
          <w:rStyle w:val="359"/>
          <w:rFonts w:hint="eastAsia" w:ascii="仿宋" w:hAnsi="仿宋" w:eastAsia="仿宋" w:cs="仿宋_GB2312"/>
          <w:b w:val="0"/>
          <w:bCs w:val="0"/>
          <w:sz w:val="21"/>
          <w:szCs w:val="30"/>
        </w:rPr>
        <w:t>4.1</w:t>
      </w:r>
      <w:bookmarkEnd w:id="1058"/>
      <w:r>
        <w:rPr>
          <w:rFonts w:hint="eastAsia" w:ascii="仿宋" w:hAnsi="仿宋" w:eastAsia="仿宋" w:cs="仿宋_GB2312"/>
          <w:sz w:val="21"/>
          <w:szCs w:val="30"/>
        </w:rPr>
        <w:t>外资银行营业性机构经营人民币业务或者扩大人民币业务服务对象范围审批</w:t>
      </w:r>
      <w:bookmarkEnd w:id="1059"/>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26"/>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申请人董事长或者行长（首席执行官、总经理）签署的申请书；</w:t>
      </w:r>
    </w:p>
    <w:p>
      <w:pPr>
        <w:numPr>
          <w:ilvl w:val="0"/>
          <w:numId w:val="26"/>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可行性研究报告；</w:t>
      </w:r>
    </w:p>
    <w:p>
      <w:pPr>
        <w:numPr>
          <w:ilvl w:val="0"/>
          <w:numId w:val="26"/>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拟经营业务的内部控制制度及操作规程；</w:t>
      </w:r>
    </w:p>
    <w:p>
      <w:pPr>
        <w:numPr>
          <w:ilvl w:val="0"/>
          <w:numId w:val="26"/>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60" w:name="_Toc424306855"/>
      <w:r>
        <w:rPr>
          <w:rFonts w:hint="eastAsia" w:ascii="仿宋" w:hAnsi="仿宋" w:eastAsia="仿宋" w:cs="仿宋_GB2312"/>
          <w:sz w:val="21"/>
          <w:szCs w:val="30"/>
        </w:rPr>
        <w:t>（二）发行债务、资本补充工具</w:t>
      </w:r>
      <w:bookmarkEnd w:id="1060"/>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61" w:name="_Toc518836326"/>
      <w:bookmarkStart w:id="1062" w:name="_Toc424306856"/>
      <w:r>
        <w:rPr>
          <w:rStyle w:val="359"/>
          <w:rFonts w:hint="eastAsia" w:ascii="仿宋" w:hAnsi="仿宋" w:eastAsia="仿宋" w:cs="仿宋_GB2312"/>
          <w:b w:val="0"/>
          <w:bCs w:val="0"/>
          <w:sz w:val="21"/>
          <w:szCs w:val="30"/>
        </w:rPr>
        <w:t>4.2</w:t>
      </w:r>
      <w:bookmarkEnd w:id="1061"/>
      <w:r>
        <w:rPr>
          <w:rFonts w:hint="eastAsia" w:ascii="仿宋" w:hAnsi="仿宋" w:eastAsia="仿宋" w:cs="仿宋_GB2312"/>
          <w:sz w:val="21"/>
          <w:szCs w:val="30"/>
        </w:rPr>
        <w:t>外商独资银行、中外合资银行在境内外发行经银监会许可的债务、资本补充工具审批</w:t>
      </w:r>
      <w:bookmarkEnd w:id="1062"/>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2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申请人董事长或者行长（首席执行官、总经理）签署的申请书；</w:t>
      </w:r>
    </w:p>
    <w:p>
      <w:pPr>
        <w:numPr>
          <w:ilvl w:val="0"/>
          <w:numId w:val="2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可行性研究报告；</w:t>
      </w:r>
    </w:p>
    <w:p>
      <w:pPr>
        <w:numPr>
          <w:ilvl w:val="0"/>
          <w:numId w:val="2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债务、资本补充工具发行登记表；</w:t>
      </w:r>
    </w:p>
    <w:p>
      <w:pPr>
        <w:numPr>
          <w:ilvl w:val="0"/>
          <w:numId w:val="2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申请人关于发行债务、资本补充工具的董事会决议；</w:t>
      </w:r>
    </w:p>
    <w:p>
      <w:pPr>
        <w:numPr>
          <w:ilvl w:val="0"/>
          <w:numId w:val="2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申请人股东关于发行债务、资本补充工具的董事会决议；</w:t>
      </w:r>
    </w:p>
    <w:p>
      <w:pPr>
        <w:numPr>
          <w:ilvl w:val="0"/>
          <w:numId w:val="2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申请人最近3年经审计的财务会计报告；</w:t>
      </w:r>
    </w:p>
    <w:p>
      <w:pPr>
        <w:numPr>
          <w:ilvl w:val="0"/>
          <w:numId w:val="2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募集说明书；</w:t>
      </w:r>
    </w:p>
    <w:p>
      <w:pPr>
        <w:numPr>
          <w:ilvl w:val="0"/>
          <w:numId w:val="2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发行公告或者发行章程；</w:t>
      </w:r>
    </w:p>
    <w:p>
      <w:pPr>
        <w:numPr>
          <w:ilvl w:val="0"/>
          <w:numId w:val="2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申请人关于本期债券偿债计划及保障措施的专项报告；</w:t>
      </w:r>
    </w:p>
    <w:p>
      <w:pPr>
        <w:numPr>
          <w:ilvl w:val="0"/>
          <w:numId w:val="2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信用评级机构出具的金融债券信用评级报告及有关持续跟踪评级安排的说明；</w:t>
      </w:r>
    </w:p>
    <w:p>
      <w:pPr>
        <w:numPr>
          <w:ilvl w:val="0"/>
          <w:numId w:val="2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在中国境内依法设立的律师事务所出具的法律意见书；</w:t>
      </w:r>
    </w:p>
    <w:p>
      <w:pPr>
        <w:numPr>
          <w:ilvl w:val="0"/>
          <w:numId w:val="27"/>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63" w:name="_Toc424306857"/>
      <w:r>
        <w:rPr>
          <w:rFonts w:hint="eastAsia" w:ascii="仿宋" w:hAnsi="仿宋" w:eastAsia="仿宋" w:cs="仿宋_GB2312"/>
          <w:sz w:val="21"/>
          <w:szCs w:val="30"/>
        </w:rPr>
        <w:t>（三）开办衍生产品交易业务</w:t>
      </w:r>
      <w:bookmarkEnd w:id="1063"/>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64" w:name="_Toc518836327"/>
      <w:bookmarkStart w:id="1065" w:name="_Toc424306858"/>
      <w:r>
        <w:rPr>
          <w:rStyle w:val="359"/>
          <w:rFonts w:hint="eastAsia" w:ascii="仿宋" w:hAnsi="仿宋" w:eastAsia="仿宋" w:cs="仿宋_GB2312"/>
          <w:b w:val="0"/>
          <w:bCs w:val="0"/>
          <w:sz w:val="21"/>
          <w:szCs w:val="30"/>
        </w:rPr>
        <w:t>4.3</w:t>
      </w:r>
      <w:bookmarkEnd w:id="1064"/>
      <w:r>
        <w:rPr>
          <w:rFonts w:hint="eastAsia" w:ascii="仿宋" w:hAnsi="仿宋" w:eastAsia="仿宋" w:cs="仿宋_GB2312"/>
          <w:sz w:val="21"/>
          <w:szCs w:val="30"/>
        </w:rPr>
        <w:t>外资银行营业性机构开办衍生产品交易业务审批</w:t>
      </w:r>
      <w:bookmarkEnd w:id="1065"/>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28"/>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申请人授权签字人签署的申请书；</w:t>
      </w:r>
    </w:p>
    <w:p>
      <w:pPr>
        <w:numPr>
          <w:ilvl w:val="0"/>
          <w:numId w:val="28"/>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可行性研究报告及业务计划书或者展业计划；</w:t>
      </w:r>
    </w:p>
    <w:p>
      <w:pPr>
        <w:numPr>
          <w:ilvl w:val="0"/>
          <w:numId w:val="28"/>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衍生产品交易业务内部管理规章制度，内容包括：衍生产品交易业务的指导原则、操作规程（操作规程应当体现交易前台、中台、后台分离的原则）和针对突发事件的应急计划；新业务、新产品审批制度及流程；交易品种及其风险控制制度；衍生产品交易的风险模型指标及量化管理指标；风险管理制度和内部审计制度；衍生产品交易业务研究与开发的管理制度及后评价制度；交易员守则；交易主管人员岗位职责制度，对各级主管人员与交易员的问责制度和激励约束机制；对前台、中台、后台主管人员及工作人员的培训计划；</w:t>
      </w:r>
    </w:p>
    <w:p>
      <w:pPr>
        <w:numPr>
          <w:ilvl w:val="0"/>
          <w:numId w:val="28"/>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衍生产品交易会计制度；</w:t>
      </w:r>
    </w:p>
    <w:p>
      <w:pPr>
        <w:numPr>
          <w:ilvl w:val="0"/>
          <w:numId w:val="28"/>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主管人员和主要交易人员名单、履历；</w:t>
      </w:r>
    </w:p>
    <w:p>
      <w:pPr>
        <w:numPr>
          <w:ilvl w:val="0"/>
          <w:numId w:val="28"/>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衍生产品交易风险管理制度，包括但不限于：风险敞口量化规则或者风险限额授权管理制度；</w:t>
      </w:r>
    </w:p>
    <w:p>
      <w:pPr>
        <w:numPr>
          <w:ilvl w:val="0"/>
          <w:numId w:val="28"/>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第三方独立出具的交易场所、设备和系统的安全性和稳定性测试报告；</w:t>
      </w:r>
    </w:p>
    <w:p>
      <w:pPr>
        <w:numPr>
          <w:ilvl w:val="0"/>
          <w:numId w:val="28"/>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国银行分行申请开办衍生产品交易业务，若不具备《中国银监会外资银行行政许可事项实施办法》第一百一十六条或者第一百一十七条所列条件，除报送其总行（地区总部）的上述文件和资料外，同时还应当报送下列申请资料：</w:t>
      </w:r>
    </w:p>
    <w:p>
      <w:pPr>
        <w:numPr>
          <w:ilvl w:val="0"/>
          <w:numId w:val="29"/>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外国银行总行（地区总部）对该分行从事衍生产品交易品种和限额等方面的正式书面授权文件；</w:t>
      </w:r>
    </w:p>
    <w:p>
      <w:pPr>
        <w:numPr>
          <w:ilvl w:val="0"/>
          <w:numId w:val="29"/>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除外国银行总行另有明确规定外，外国银行总行（地区总部）出具的确保该分行全部衍生产品交易通过总行（地区总部）交易系统进行实时平盘，并由其总行（地区总部）负责进行平盘、敞口管理和风险控制的承诺函。</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66" w:name="_Toc424306859"/>
      <w:r>
        <w:rPr>
          <w:rFonts w:hint="eastAsia" w:ascii="仿宋" w:hAnsi="仿宋" w:eastAsia="仿宋" w:cs="仿宋_GB2312"/>
          <w:sz w:val="21"/>
          <w:szCs w:val="30"/>
        </w:rPr>
        <w:t>（四）开办信用卡业务</w:t>
      </w:r>
      <w:bookmarkEnd w:id="1066"/>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67" w:name="_Toc518836328"/>
      <w:bookmarkStart w:id="1068" w:name="_Toc424306860"/>
      <w:r>
        <w:rPr>
          <w:rStyle w:val="359"/>
          <w:rFonts w:hint="eastAsia" w:ascii="仿宋" w:hAnsi="仿宋" w:eastAsia="仿宋" w:cs="仿宋_GB2312"/>
          <w:b w:val="0"/>
          <w:bCs w:val="0"/>
          <w:sz w:val="21"/>
          <w:szCs w:val="30"/>
        </w:rPr>
        <w:t>4.4</w:t>
      </w:r>
      <w:bookmarkEnd w:id="1067"/>
      <w:r>
        <w:rPr>
          <w:rFonts w:hint="eastAsia" w:ascii="仿宋" w:hAnsi="仿宋" w:eastAsia="仿宋" w:cs="仿宋_GB2312"/>
          <w:sz w:val="21"/>
          <w:szCs w:val="30"/>
        </w:rPr>
        <w:t>外商独资银行、中外合资银行开办信用卡业务审批</w:t>
      </w:r>
      <w:bookmarkEnd w:id="1068"/>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3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申请人董事长或者行长（首席执行官、总经理）签署的申请书；</w:t>
      </w:r>
    </w:p>
    <w:p>
      <w:pPr>
        <w:numPr>
          <w:ilvl w:val="0"/>
          <w:numId w:val="3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可行性研究报告；</w:t>
      </w:r>
    </w:p>
    <w:p>
      <w:pPr>
        <w:numPr>
          <w:ilvl w:val="0"/>
          <w:numId w:val="3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信用卡业务发展规划；</w:t>
      </w:r>
    </w:p>
    <w:p>
      <w:pPr>
        <w:numPr>
          <w:ilvl w:val="0"/>
          <w:numId w:val="3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信用卡业务管理制度；</w:t>
      </w:r>
    </w:p>
    <w:p>
      <w:pPr>
        <w:numPr>
          <w:ilvl w:val="0"/>
          <w:numId w:val="3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信用卡章程，内容至少包括信用卡的名称、种类、功能、用途、发行对象、申领条件、申领手续、使用范围（包括使用方面的限制）及使用方法、信用卡账户适用的利率、面向持卡人的收费项目和收费水平，发卡银行、持卡人及其他有关当事人的权利、义务；</w:t>
      </w:r>
    </w:p>
    <w:p>
      <w:pPr>
        <w:numPr>
          <w:ilvl w:val="0"/>
          <w:numId w:val="3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信用卡卡样设计草案或者可受理信用卡种类；</w:t>
      </w:r>
    </w:p>
    <w:p>
      <w:pPr>
        <w:numPr>
          <w:ilvl w:val="0"/>
          <w:numId w:val="3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信用卡业务运营设施、业务系统和灾备系统介绍；</w:t>
      </w:r>
    </w:p>
    <w:p>
      <w:pPr>
        <w:numPr>
          <w:ilvl w:val="0"/>
          <w:numId w:val="3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相关身份证件验证系统和征信系统连接和使用情况介绍；</w:t>
      </w:r>
    </w:p>
    <w:p>
      <w:pPr>
        <w:numPr>
          <w:ilvl w:val="0"/>
          <w:numId w:val="3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信用卡业务系统和灾备系统测试报告和安全评估报告；</w:t>
      </w:r>
    </w:p>
    <w:p>
      <w:pPr>
        <w:numPr>
          <w:ilvl w:val="0"/>
          <w:numId w:val="3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信用卡业务运行应急方案和业务连续性计划；</w:t>
      </w:r>
    </w:p>
    <w:p>
      <w:pPr>
        <w:numPr>
          <w:ilvl w:val="0"/>
          <w:numId w:val="3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信用卡业务风险管理体系建设和相应的规章制度；</w:t>
      </w:r>
    </w:p>
    <w:p>
      <w:pPr>
        <w:numPr>
          <w:ilvl w:val="0"/>
          <w:numId w:val="3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信用卡业务的管理部门、职责分工、主要负责人介绍；</w:t>
      </w:r>
    </w:p>
    <w:p>
      <w:pPr>
        <w:numPr>
          <w:ilvl w:val="0"/>
          <w:numId w:val="3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申请机构联系人、联系电话、联系地址、传真、电子邮箱等联系方式；</w:t>
      </w:r>
    </w:p>
    <w:p>
      <w:pPr>
        <w:numPr>
          <w:ilvl w:val="0"/>
          <w:numId w:val="30"/>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仅开办信用卡收单业务无须提供上述第（5）、（6）项相关材料。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69" w:name="_Toc424306861"/>
      <w:r>
        <w:rPr>
          <w:rFonts w:hint="eastAsia" w:ascii="仿宋" w:hAnsi="仿宋" w:eastAsia="仿宋" w:cs="仿宋_GB2312"/>
          <w:sz w:val="21"/>
          <w:szCs w:val="30"/>
        </w:rPr>
        <w:t>（五）开办证券投资基金托管业务</w:t>
      </w:r>
      <w:bookmarkEnd w:id="1069"/>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70" w:name="_Toc518836329"/>
      <w:bookmarkStart w:id="1071" w:name="_Toc424306862"/>
      <w:r>
        <w:rPr>
          <w:rStyle w:val="359"/>
          <w:rFonts w:hint="eastAsia" w:ascii="仿宋" w:hAnsi="仿宋" w:eastAsia="仿宋" w:cs="仿宋_GB2312"/>
          <w:b w:val="0"/>
          <w:bCs w:val="0"/>
          <w:sz w:val="21"/>
          <w:szCs w:val="30"/>
        </w:rPr>
        <w:t>4.5</w:t>
      </w:r>
      <w:bookmarkEnd w:id="1070"/>
      <w:r>
        <w:rPr>
          <w:rFonts w:hint="eastAsia" w:ascii="仿宋" w:hAnsi="仿宋" w:eastAsia="仿宋" w:cs="仿宋_GB2312"/>
          <w:sz w:val="21"/>
          <w:szCs w:val="30"/>
        </w:rPr>
        <w:t>外商独资银行、中外合资银行开办证券投资基金托管业务审批</w:t>
      </w:r>
      <w:bookmarkEnd w:id="1071"/>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应当向国务院证券监督管理机构提交《证券投资基金托管业务管理办法》规定的申请资料，同时抄送银监会。</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72" w:name="_Toc424306863"/>
      <w:r>
        <w:rPr>
          <w:rFonts w:hint="eastAsia" w:ascii="仿宋" w:hAnsi="仿宋" w:eastAsia="仿宋" w:cs="仿宋_GB2312"/>
          <w:sz w:val="21"/>
          <w:szCs w:val="30"/>
        </w:rPr>
        <w:t>（六）开办代客境外理财业务</w:t>
      </w:r>
      <w:bookmarkEnd w:id="1072"/>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73" w:name="_Toc518836330"/>
      <w:bookmarkStart w:id="1074" w:name="_Toc424306864"/>
      <w:r>
        <w:rPr>
          <w:rStyle w:val="359"/>
          <w:rFonts w:hint="eastAsia" w:ascii="仿宋" w:hAnsi="仿宋" w:eastAsia="仿宋" w:cs="仿宋_GB2312"/>
          <w:b w:val="0"/>
          <w:bCs w:val="0"/>
          <w:sz w:val="21"/>
          <w:szCs w:val="30"/>
        </w:rPr>
        <w:t>4.6</w:t>
      </w:r>
      <w:bookmarkEnd w:id="1073"/>
      <w:r>
        <w:rPr>
          <w:rFonts w:hint="eastAsia" w:ascii="仿宋" w:hAnsi="仿宋" w:eastAsia="仿宋" w:cs="仿宋_GB2312"/>
          <w:sz w:val="21"/>
          <w:szCs w:val="30"/>
        </w:rPr>
        <w:t>外资银行营业性机构开办代客境外理财业务审批</w:t>
      </w:r>
      <w:bookmarkEnd w:id="1074"/>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3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申请人授权签字人签署的申请书；</w:t>
      </w:r>
    </w:p>
    <w:p>
      <w:pPr>
        <w:numPr>
          <w:ilvl w:val="0"/>
          <w:numId w:val="3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可行性研究报告，内容至少包括开展代客境外理财业务的主要策略、相关市场分析、管理与操作程序、风险管控措施、资源保障情况以及网点和人员规划；</w:t>
      </w:r>
    </w:p>
    <w:p>
      <w:pPr>
        <w:numPr>
          <w:ilvl w:val="0"/>
          <w:numId w:val="3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与开办代客境外理财业务相关的内部控制制度，内容至少包括理财业务管理的相关制度、外汇投资或者交易管理的相关制度以及监管部门要求的其他制度；</w:t>
      </w:r>
    </w:p>
    <w:p>
      <w:pPr>
        <w:numPr>
          <w:ilvl w:val="0"/>
          <w:numId w:val="3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与开办代客境外理财业务相关的风险管理制度；</w:t>
      </w:r>
    </w:p>
    <w:p>
      <w:pPr>
        <w:numPr>
          <w:ilvl w:val="0"/>
          <w:numId w:val="3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托管协议草案；</w:t>
      </w:r>
    </w:p>
    <w:p>
      <w:pPr>
        <w:numPr>
          <w:ilvl w:val="0"/>
          <w:numId w:val="31"/>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75" w:name="_Toc424306865"/>
      <w:r>
        <w:rPr>
          <w:rFonts w:hint="eastAsia" w:ascii="仿宋" w:hAnsi="仿宋" w:eastAsia="仿宋" w:cs="仿宋_GB2312"/>
          <w:sz w:val="21"/>
          <w:szCs w:val="30"/>
        </w:rPr>
        <w:t>（七）开办代客境外理财托管业务</w:t>
      </w:r>
      <w:bookmarkEnd w:id="1075"/>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76" w:name="_Toc518836331"/>
      <w:bookmarkStart w:id="1077" w:name="_Toc424306866"/>
      <w:r>
        <w:rPr>
          <w:rStyle w:val="359"/>
          <w:rFonts w:hint="eastAsia" w:ascii="仿宋" w:hAnsi="仿宋" w:eastAsia="仿宋" w:cs="仿宋_GB2312"/>
          <w:b w:val="0"/>
          <w:bCs w:val="0"/>
          <w:sz w:val="21"/>
          <w:szCs w:val="30"/>
        </w:rPr>
        <w:t>4.7</w:t>
      </w:r>
      <w:bookmarkEnd w:id="1076"/>
      <w:r>
        <w:rPr>
          <w:rFonts w:hint="eastAsia" w:ascii="仿宋" w:hAnsi="仿宋" w:eastAsia="仿宋" w:cs="仿宋_GB2312"/>
          <w:sz w:val="21"/>
          <w:szCs w:val="30"/>
        </w:rPr>
        <w:t>外资银行营业性机构开办代客境外理财托管业务审批</w:t>
      </w:r>
      <w:bookmarkEnd w:id="1077"/>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3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申请人授权签字人签署的申请书；</w:t>
      </w:r>
    </w:p>
    <w:p>
      <w:pPr>
        <w:numPr>
          <w:ilvl w:val="0"/>
          <w:numId w:val="3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可行性研究报告及业务计划书或者展业计划；</w:t>
      </w:r>
    </w:p>
    <w:p>
      <w:pPr>
        <w:numPr>
          <w:ilvl w:val="0"/>
          <w:numId w:val="3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拟开办业务的详细介绍和为从事该项业务所做的必要准备情况，内容至少包括操作规程、风险收益分析、控制措施、专业人员及计算机系统的配置；</w:t>
      </w:r>
    </w:p>
    <w:p>
      <w:pPr>
        <w:numPr>
          <w:ilvl w:val="0"/>
          <w:numId w:val="3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申请人最近1年经审计的财务会计报告；</w:t>
      </w:r>
    </w:p>
    <w:p>
      <w:pPr>
        <w:numPr>
          <w:ilvl w:val="0"/>
          <w:numId w:val="32"/>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78" w:name="_Toc424306867"/>
      <w:r>
        <w:rPr>
          <w:rFonts w:hint="eastAsia" w:ascii="仿宋" w:hAnsi="仿宋" w:eastAsia="仿宋" w:cs="仿宋_GB2312"/>
          <w:sz w:val="21"/>
          <w:szCs w:val="30"/>
        </w:rPr>
        <w:t>（八）开办其他业务</w:t>
      </w:r>
      <w:bookmarkEnd w:id="1078"/>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79" w:name="_Toc518836332"/>
      <w:bookmarkStart w:id="1080" w:name="_Toc424306868"/>
      <w:r>
        <w:rPr>
          <w:rStyle w:val="359"/>
          <w:rFonts w:hint="eastAsia" w:ascii="仿宋" w:hAnsi="仿宋" w:eastAsia="仿宋" w:cs="仿宋_GB2312"/>
          <w:b w:val="0"/>
          <w:bCs w:val="0"/>
          <w:sz w:val="21"/>
          <w:szCs w:val="30"/>
        </w:rPr>
        <w:t>4.8</w:t>
      </w:r>
      <w:bookmarkEnd w:id="1079"/>
      <w:r>
        <w:rPr>
          <w:rFonts w:hint="eastAsia" w:ascii="仿宋" w:hAnsi="仿宋" w:eastAsia="仿宋" w:cs="仿宋_GB2312"/>
          <w:sz w:val="21"/>
          <w:szCs w:val="30"/>
        </w:rPr>
        <w:t>外资银行营业性机构开办其他业务审批</w:t>
      </w:r>
      <w:bookmarkEnd w:id="1080"/>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33"/>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申请人授权签字人签署的申请书；</w:t>
      </w:r>
    </w:p>
    <w:p>
      <w:pPr>
        <w:numPr>
          <w:ilvl w:val="0"/>
          <w:numId w:val="33"/>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拟经营业务的详细介绍和可行性研究报告；</w:t>
      </w:r>
    </w:p>
    <w:p>
      <w:pPr>
        <w:numPr>
          <w:ilvl w:val="0"/>
          <w:numId w:val="33"/>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拟经营业务的内部控制制度和操作规程；</w:t>
      </w:r>
    </w:p>
    <w:p>
      <w:pPr>
        <w:numPr>
          <w:ilvl w:val="0"/>
          <w:numId w:val="33"/>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拟经营业务的人员配备情况及业务系统的介绍；</w:t>
      </w:r>
    </w:p>
    <w:p>
      <w:pPr>
        <w:numPr>
          <w:ilvl w:val="0"/>
          <w:numId w:val="33"/>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bookmarkStart w:id="1081" w:name="_Toc424306869"/>
    </w:p>
    <w:p>
      <w:pPr>
        <w:pStyle w:val="4"/>
        <w:adjustRightInd w:val="0"/>
        <w:snapToGrid w:val="0"/>
        <w:spacing w:before="0" w:after="0" w:line="312" w:lineRule="auto"/>
        <w:rPr>
          <w:rFonts w:hint="eastAsia" w:ascii="仿宋" w:hAnsi="仿宋" w:eastAsia="仿宋" w:cs="仿宋_GB2312"/>
          <w:sz w:val="21"/>
          <w:szCs w:val="30"/>
        </w:rPr>
      </w:pPr>
      <w:bookmarkStart w:id="1082" w:name="_Toc518836333"/>
      <w:r>
        <w:rPr>
          <w:rFonts w:ascii="仿宋" w:hAnsi="仿宋" w:eastAsia="仿宋" w:cs="仿宋_GB2312"/>
          <w:sz w:val="21"/>
          <w:szCs w:val="30"/>
        </w:rPr>
        <w:t>五、董事和高级管理人员任职资格核准</w:t>
      </w:r>
      <w:bookmarkEnd w:id="1081"/>
      <w:bookmarkEnd w:id="1082"/>
    </w:p>
    <w:p>
      <w:pPr>
        <w:pStyle w:val="6"/>
        <w:adjustRightInd w:val="0"/>
        <w:snapToGrid w:val="0"/>
        <w:spacing w:before="0" w:beforeAutospacing="0" w:after="0" w:afterAutospacing="0" w:line="312" w:lineRule="auto"/>
        <w:rPr>
          <w:rStyle w:val="359"/>
          <w:rFonts w:hint="eastAsia" w:ascii="仿宋" w:hAnsi="仿宋" w:eastAsia="仿宋" w:cs="仿宋_GB2312"/>
          <w:b w:val="0"/>
          <w:bCs w:val="0"/>
          <w:sz w:val="21"/>
          <w:szCs w:val="30"/>
        </w:rPr>
      </w:pPr>
      <w:bookmarkStart w:id="1083" w:name="_Toc518836334"/>
      <w:bookmarkStart w:id="1084" w:name="_Toc424306870"/>
      <w:r>
        <w:rPr>
          <w:rStyle w:val="359"/>
          <w:rFonts w:hint="eastAsia" w:ascii="仿宋" w:hAnsi="仿宋" w:eastAsia="仿宋" w:cs="仿宋_GB2312"/>
          <w:b w:val="0"/>
          <w:bCs w:val="0"/>
          <w:sz w:val="21"/>
          <w:szCs w:val="30"/>
        </w:rPr>
        <w:t>5.1</w:t>
      </w:r>
      <w:bookmarkEnd w:id="1083"/>
      <w:r>
        <w:rPr>
          <w:rFonts w:hint="eastAsia" w:ascii="仿宋" w:hAnsi="仿宋" w:eastAsia="仿宋" w:cs="仿宋_GB2312"/>
          <w:sz w:val="21"/>
          <w:szCs w:val="30"/>
        </w:rPr>
        <w:t>外资银行董事、高级管理人员和首席代表任职资格核准审批</w:t>
      </w:r>
      <w:bookmarkEnd w:id="1084"/>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numPr>
          <w:ilvl w:val="0"/>
          <w:numId w:val="3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申请人授权签字人签署的申请书，申请书中应当说明拟任人拟任的职务、职责、权限，及该职务在本机构组织结构中的位置；</w:t>
      </w:r>
    </w:p>
    <w:p>
      <w:pPr>
        <w:numPr>
          <w:ilvl w:val="0"/>
          <w:numId w:val="3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申请人授权签字人签署的对拟任人的授权书及该签字人的授权书；</w:t>
      </w:r>
    </w:p>
    <w:p>
      <w:pPr>
        <w:numPr>
          <w:ilvl w:val="0"/>
          <w:numId w:val="3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经授权签字人签字的拟任人简历、身份证明和学历证明复印件；</w:t>
      </w:r>
    </w:p>
    <w:p>
      <w:pPr>
        <w:numPr>
          <w:ilvl w:val="0"/>
          <w:numId w:val="3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拟任人从事商业银行业务及相关管理经验、履职计划的详细说明；</w:t>
      </w:r>
    </w:p>
    <w:p>
      <w:pPr>
        <w:numPr>
          <w:ilvl w:val="0"/>
          <w:numId w:val="3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拟任人签署的无不良记录陈述书以及任职后将守法尽责的承诺书；</w:t>
      </w:r>
    </w:p>
    <w:p>
      <w:pPr>
        <w:numPr>
          <w:ilvl w:val="0"/>
          <w:numId w:val="3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外商独资银行、中外合资银行章程规定应当召开股东会或者董事会会议的，还应当报送相应的会议决议；</w:t>
      </w:r>
    </w:p>
    <w:p>
      <w:pPr>
        <w:numPr>
          <w:ilvl w:val="0"/>
          <w:numId w:val="3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拟任人离任审计报告（经济责任审计报告）或者原任职机构出具的履职评价；</w:t>
      </w:r>
    </w:p>
    <w:p>
      <w:pPr>
        <w:numPr>
          <w:ilvl w:val="0"/>
          <w:numId w:val="3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拟任人在银行、银行集团及其关联企业中担任、兼任其他职务的情况说明；</w:t>
      </w:r>
    </w:p>
    <w:p>
      <w:pPr>
        <w:numPr>
          <w:ilvl w:val="0"/>
          <w:numId w:val="34"/>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银监会要求的其他资料。</w:t>
      </w:r>
      <w:bookmarkStart w:id="1085" w:name="_Toc424306871"/>
    </w:p>
    <w:p>
      <w:pPr>
        <w:pStyle w:val="4"/>
        <w:adjustRightInd w:val="0"/>
        <w:snapToGrid w:val="0"/>
        <w:spacing w:before="0" w:after="0" w:line="312" w:lineRule="auto"/>
        <w:rPr>
          <w:rFonts w:hint="eastAsia" w:ascii="仿宋" w:hAnsi="仿宋" w:eastAsia="仿宋" w:cs="仿宋_GB2312"/>
          <w:sz w:val="21"/>
          <w:szCs w:val="30"/>
        </w:rPr>
      </w:pPr>
      <w:bookmarkStart w:id="1086" w:name="_Toc518836335"/>
      <w:r>
        <w:rPr>
          <w:rFonts w:ascii="仿宋" w:hAnsi="仿宋" w:eastAsia="仿宋" w:cs="仿宋_GB2312"/>
          <w:sz w:val="21"/>
          <w:szCs w:val="30"/>
        </w:rPr>
        <w:t>六、申请材料格式要求</w:t>
      </w:r>
      <w:bookmarkEnd w:id="1085"/>
      <w:bookmarkEnd w:id="1086"/>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行政许可事项申请材料应同时向银监会或其派出机构报送纸质材料和电子文档。</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87" w:name="_Toc424306872"/>
      <w:r>
        <w:rPr>
          <w:rFonts w:hint="eastAsia" w:ascii="仿宋" w:hAnsi="仿宋" w:eastAsia="仿宋" w:cs="仿宋_GB2312"/>
          <w:sz w:val="21"/>
          <w:szCs w:val="30"/>
        </w:rPr>
        <w:t>（一）电子文档报送要求</w:t>
      </w:r>
      <w:bookmarkEnd w:id="1087"/>
    </w:p>
    <w:p>
      <w:pPr>
        <w:numPr>
          <w:ilvl w:val="0"/>
          <w:numId w:val="35"/>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机构申请书扫描件电子文档。如有整改的，提供整改报告扫描件电子文档。</w:t>
      </w:r>
    </w:p>
    <w:p>
      <w:pPr>
        <w:numPr>
          <w:ilvl w:val="0"/>
          <w:numId w:val="35"/>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涉及两级监管机关受理、决定的，提供受理机构初审意见报告的扫描件电子文档。如有整改的，提供初审意见补充报告扫描件电子文档。</w:t>
      </w:r>
    </w:p>
    <w:p>
      <w:pPr>
        <w:pStyle w:val="5"/>
        <w:adjustRightInd w:val="0"/>
        <w:snapToGrid w:val="0"/>
        <w:spacing w:before="0" w:beforeAutospacing="0" w:after="0" w:afterAutospacing="0" w:line="312" w:lineRule="auto"/>
        <w:rPr>
          <w:rFonts w:hint="eastAsia" w:ascii="仿宋" w:hAnsi="仿宋" w:eastAsia="仿宋" w:cs="仿宋_GB2312"/>
          <w:sz w:val="21"/>
          <w:szCs w:val="30"/>
        </w:rPr>
      </w:pPr>
      <w:bookmarkStart w:id="1088" w:name="_Toc424306873"/>
      <w:r>
        <w:rPr>
          <w:rFonts w:hint="eastAsia" w:ascii="仿宋" w:hAnsi="仿宋" w:eastAsia="仿宋" w:cs="仿宋_GB2312"/>
          <w:sz w:val="21"/>
          <w:szCs w:val="30"/>
        </w:rPr>
        <w:t>（二）纸质材料报送要求</w:t>
      </w:r>
      <w:bookmarkEnd w:id="1088"/>
    </w:p>
    <w:p>
      <w:pPr>
        <w:numPr>
          <w:ilvl w:val="0"/>
          <w:numId w:val="36"/>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申请材料一式两份（其中一份按规定提供原件，另一份可为复印件），提交决定机关的为原件。</w:t>
      </w:r>
    </w:p>
    <w:p>
      <w:pPr>
        <w:numPr>
          <w:ilvl w:val="0"/>
          <w:numId w:val="36"/>
        </w:numPr>
        <w:tabs>
          <w:tab w:val="left" w:pos="425"/>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申请材料原则上用中文简体仿宋GB2312小三号书写。除年报外，如原件以英文书写的，应附有中文译本。</w:t>
      </w:r>
    </w:p>
    <w:p>
      <w:pPr>
        <w:numPr>
          <w:ilvl w:val="0"/>
          <w:numId w:val="36"/>
        </w:numPr>
        <w:tabs>
          <w:tab w:val="left" w:pos="420"/>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申请材料各部分之间应有明显的分隔标识，首页附有申请材料目录。</w:t>
      </w:r>
    </w:p>
    <w:p>
      <w:pPr>
        <w:widowControl/>
        <w:jc w:val="left"/>
        <w:rPr>
          <w:rFonts w:hint="eastAsia" w:ascii="仿宋" w:hAnsi="仿宋" w:eastAsia="仿宋"/>
        </w:rPr>
      </w:pPr>
      <w:r>
        <w:rPr>
          <w:rFonts w:ascii="仿宋" w:hAnsi="仿宋" w:eastAsia="仿宋"/>
          <w:b/>
          <w:bCs/>
        </w:rPr>
        <w:br w:type="page"/>
      </w:r>
    </w:p>
    <w:p>
      <w:pPr>
        <w:pStyle w:val="3"/>
        <w:rPr>
          <w:rFonts w:hint="eastAsia"/>
        </w:rPr>
      </w:pPr>
      <w:bookmarkStart w:id="1089" w:name="_Toc159398640"/>
      <w:bookmarkStart w:id="1090" w:name="_Toc161055669"/>
      <w:bookmarkStart w:id="1091" w:name="_Toc518836336"/>
      <w:bookmarkStart w:id="1092" w:name="_Toc30588"/>
      <w:r>
        <w:t>附件4：信托公司行政许可事项申请材料目录及格式要求（2015年版）</w:t>
      </w:r>
      <w:bookmarkEnd w:id="1089"/>
      <w:bookmarkEnd w:id="1090"/>
      <w:bookmarkEnd w:id="1091"/>
      <w:bookmarkEnd w:id="1092"/>
    </w:p>
    <w:p>
      <w:pPr>
        <w:pStyle w:val="4"/>
        <w:spacing w:before="0" w:after="0" w:line="312" w:lineRule="auto"/>
        <w:ind w:firstLine="422"/>
        <w:rPr>
          <w:rFonts w:hint="eastAsia" w:ascii="仿宋" w:hAnsi="仿宋" w:eastAsia="仿宋" w:cs="仿宋_GB2312"/>
          <w:bCs w:val="0"/>
          <w:color w:val="000000"/>
          <w:sz w:val="21"/>
          <w:szCs w:val="30"/>
        </w:rPr>
      </w:pPr>
      <w:bookmarkStart w:id="1093" w:name="_Toc518836337"/>
      <w:bookmarkStart w:id="1094" w:name="_Toc421891313"/>
      <w:bookmarkStart w:id="1095" w:name="_Toc22589"/>
      <w:bookmarkStart w:id="1096" w:name="_Toc8410"/>
      <w:bookmarkStart w:id="1097" w:name="_Toc1954"/>
      <w:bookmarkStart w:id="1098" w:name="_Toc3729"/>
      <w:bookmarkStart w:id="1099" w:name="_Toc22700"/>
      <w:bookmarkStart w:id="1100" w:name="_Toc20185"/>
      <w:bookmarkStart w:id="1101" w:name="_Toc19058"/>
      <w:bookmarkStart w:id="1102" w:name="_Toc9073"/>
      <w:bookmarkStart w:id="1103" w:name="_Toc2251"/>
      <w:r>
        <w:rPr>
          <w:rFonts w:hint="eastAsia" w:ascii="仿宋" w:hAnsi="仿宋" w:eastAsia="仿宋" w:cs="仿宋_GB2312"/>
          <w:bCs w:val="0"/>
          <w:color w:val="000000"/>
          <w:sz w:val="21"/>
          <w:szCs w:val="30"/>
        </w:rPr>
        <w:t>一、机构设立</w:t>
      </w:r>
      <w:bookmarkEnd w:id="1093"/>
      <w:bookmarkEnd w:id="1094"/>
      <w:bookmarkEnd w:id="1095"/>
      <w:bookmarkEnd w:id="1096"/>
      <w:bookmarkEnd w:id="1097"/>
      <w:bookmarkEnd w:id="1098"/>
      <w:bookmarkEnd w:id="1099"/>
      <w:bookmarkEnd w:id="1100"/>
      <w:bookmarkEnd w:id="1101"/>
      <w:bookmarkEnd w:id="1102"/>
      <w:bookmarkEnd w:id="1103"/>
    </w:p>
    <w:p>
      <w:pPr>
        <w:pStyle w:val="5"/>
        <w:spacing w:before="0" w:beforeAutospacing="0" w:after="0" w:afterAutospacing="0" w:line="312" w:lineRule="auto"/>
        <w:rPr>
          <w:rFonts w:hint="eastAsia" w:ascii="仿宋" w:hAnsi="仿宋" w:eastAsia="仿宋" w:cs="仿宋_GB2312"/>
          <w:sz w:val="21"/>
          <w:szCs w:val="30"/>
        </w:rPr>
      </w:pPr>
      <w:bookmarkStart w:id="1104" w:name="_Toc9656"/>
      <w:bookmarkStart w:id="1105" w:name="_Toc23240"/>
      <w:bookmarkStart w:id="1106" w:name="_Toc8474"/>
      <w:bookmarkStart w:id="1107" w:name="_Toc12599"/>
      <w:bookmarkStart w:id="1108" w:name="_Toc19274"/>
      <w:bookmarkStart w:id="1109" w:name="_Toc16091"/>
      <w:bookmarkStart w:id="1110" w:name="_Toc528"/>
      <w:bookmarkStart w:id="1111" w:name="_Toc22922"/>
      <w:bookmarkStart w:id="1112" w:name="_Toc19750"/>
      <w:bookmarkStart w:id="1113" w:name="_Toc25763"/>
      <w:bookmarkStart w:id="1114" w:name="_Toc421891314"/>
      <w:bookmarkStart w:id="1115" w:name="_Toc4697"/>
      <w:bookmarkStart w:id="1116" w:name="_Toc7742"/>
      <w:bookmarkStart w:id="1117" w:name="_Toc27490"/>
      <w:r>
        <w:rPr>
          <w:rFonts w:hint="eastAsia" w:ascii="仿宋" w:hAnsi="仿宋" w:eastAsia="仿宋" w:cs="仿宋_GB2312"/>
          <w:sz w:val="21"/>
          <w:szCs w:val="30"/>
        </w:rPr>
        <w:t>（一）法人机构设立</w:t>
      </w:r>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p>
    <w:p>
      <w:pPr>
        <w:adjustRightInd w:val="0"/>
        <w:snapToGrid w:val="0"/>
        <w:spacing w:line="312" w:lineRule="auto"/>
        <w:ind w:firstLine="422" w:firstLineChars="200"/>
        <w:outlineLvl w:val="4"/>
        <w:rPr>
          <w:rFonts w:hint="eastAsia" w:ascii="仿宋" w:hAnsi="仿宋" w:eastAsia="仿宋" w:cs="仿宋_GB2312"/>
          <w:b/>
          <w:color w:val="000000"/>
          <w:szCs w:val="30"/>
        </w:rPr>
      </w:pPr>
      <w:r>
        <w:rPr>
          <w:rFonts w:hint="eastAsia" w:ascii="仿宋" w:hAnsi="仿宋" w:eastAsia="仿宋" w:cs="仿宋_GB2312"/>
          <w:b/>
          <w:color w:val="000000"/>
          <w:szCs w:val="30"/>
        </w:rPr>
        <w:t>1.1信托公司法人机构筹建审批</w:t>
      </w:r>
    </w:p>
    <w:p>
      <w:pPr>
        <w:adjustRightInd w:val="0"/>
        <w:snapToGrid w:val="0"/>
        <w:spacing w:line="312" w:lineRule="auto"/>
        <w:ind w:firstLine="422" w:firstLineChars="200"/>
        <w:rPr>
          <w:rFonts w:hint="eastAsia" w:ascii="仿宋" w:hAnsi="仿宋" w:eastAsia="仿宋" w:cs="仿宋_GB2312"/>
          <w:b/>
          <w:color w:val="000000"/>
          <w:szCs w:val="30"/>
        </w:rPr>
      </w:pPr>
      <w:r>
        <w:rPr>
          <w:rFonts w:hint="eastAsia" w:ascii="仿宋" w:hAnsi="仿宋" w:eastAsia="仿宋" w:cs="仿宋_GB2312"/>
          <w:b/>
          <w:color w:val="000000"/>
          <w:szCs w:val="30"/>
        </w:rPr>
        <w:t>申请材料目录：</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w:t>
      </w:r>
      <w:r>
        <w:rPr>
          <w:rFonts w:hint="eastAsia" w:ascii="仿宋" w:hAnsi="仿宋" w:eastAsia="仿宋" w:cs="仿宋_GB2312"/>
          <w:color w:val="000000"/>
          <w:szCs w:val="30"/>
        </w:rPr>
        <w:t>申请书。内容至少包含拟设立</w:t>
      </w:r>
      <w:r>
        <w:rPr>
          <w:rFonts w:hint="eastAsia" w:ascii="仿宋" w:hAnsi="仿宋" w:eastAsia="仿宋" w:cs="仿宋_GB2312"/>
          <w:color w:val="000000"/>
          <w:kern w:val="0"/>
          <w:szCs w:val="30"/>
        </w:rPr>
        <w:t>信托公司</w:t>
      </w:r>
      <w:r>
        <w:rPr>
          <w:rFonts w:hint="eastAsia" w:ascii="仿宋" w:hAnsi="仿宋" w:eastAsia="仿宋" w:cs="仿宋_GB2312"/>
          <w:color w:val="000000"/>
          <w:szCs w:val="30"/>
        </w:rPr>
        <w:t>名称（中英文）、拟设地、注册资本、股权结构、出资人基本情况（核心主业概述及连续2年核心主业营业收入占比、主要财务数据、股权结构及实际控制人）、申请开办的业务以及设立的目的。申请书应经申请人法定代表人签署并加盖单位公章。</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szCs w:val="30"/>
        </w:rPr>
        <w:t>（2）可行性研究报告。内容至少包含：拟设</w:t>
      </w:r>
      <w:r>
        <w:rPr>
          <w:rFonts w:hint="eastAsia" w:ascii="仿宋" w:hAnsi="仿宋" w:eastAsia="仿宋" w:cs="仿宋_GB2312"/>
          <w:color w:val="000000"/>
          <w:kern w:val="0"/>
          <w:szCs w:val="30"/>
        </w:rPr>
        <w:t>信托公司</w:t>
      </w:r>
      <w:r>
        <w:rPr>
          <w:rFonts w:hint="eastAsia" w:ascii="仿宋" w:hAnsi="仿宋" w:eastAsia="仿宋" w:cs="仿宋_GB2312"/>
          <w:color w:val="000000"/>
          <w:szCs w:val="30"/>
        </w:rPr>
        <w:t>的市场前景分析，包含市场定位、同业状况、拟提供的服务等；未来财务预测，包含拟设机构开业后3年的经营规模（包含固有资产规模、信托业务规模）、盈利水平（包含收入、成本和利润）、流动性状况等预测；业务定位、拓展策略及发展模式；风险管理理念和风险控制能力等。</w:t>
      </w:r>
    </w:p>
    <w:p>
      <w:pPr>
        <w:tabs>
          <w:tab w:val="left" w:pos="105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（3）公司章程草案。原则上应依照《中华人民共和国公司法》、《中华人民共和国信托法》、《信托公司管理办法》、《信托公司治理指引》等现行的相关法律法规；同时，还应包含</w:t>
      </w:r>
      <w:r>
        <w:rPr>
          <w:rFonts w:hint="eastAsia" w:ascii="仿宋" w:hAnsi="仿宋" w:eastAsia="仿宋" w:cs="仿宋_GB2312"/>
          <w:color w:val="000000"/>
          <w:kern w:val="0"/>
          <w:szCs w:val="30"/>
        </w:rPr>
        <w:t>出资人5年内不转让所持信托公司股权（银监会依法责令转让的除外），不将所持有的信托公司股权进行质押或设立信托等</w:t>
      </w:r>
      <w:r>
        <w:rPr>
          <w:rFonts w:hint="eastAsia" w:ascii="仿宋" w:hAnsi="仿宋" w:eastAsia="仿宋" w:cs="仿宋_GB2312"/>
          <w:color w:val="000000"/>
          <w:szCs w:val="30"/>
        </w:rPr>
        <w:t>内容。</w:t>
      </w:r>
    </w:p>
    <w:p>
      <w:pPr>
        <w:tabs>
          <w:tab w:val="left" w:pos="900"/>
          <w:tab w:val="left" w:pos="1080"/>
          <w:tab w:val="left" w:pos="1193"/>
        </w:tabs>
        <w:adjustRightInd w:val="0"/>
        <w:snapToGrid w:val="0"/>
        <w:spacing w:line="312" w:lineRule="auto"/>
        <w:ind w:left="360"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（4）</w:t>
      </w:r>
      <w:r>
        <w:rPr>
          <w:rFonts w:hint="eastAsia" w:ascii="仿宋" w:hAnsi="仿宋" w:eastAsia="仿宋" w:cs="仿宋_GB2312"/>
          <w:kern w:val="0"/>
          <w:szCs w:val="30"/>
        </w:rPr>
        <w:t>出资人基本情况。内容包含：</w:t>
      </w:r>
    </w:p>
    <w:p>
      <w:pPr>
        <w:tabs>
          <w:tab w:val="left" w:pos="900"/>
          <w:tab w:val="left" w:pos="1080"/>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①</w:t>
      </w:r>
      <w:r>
        <w:rPr>
          <w:rFonts w:hint="eastAsia" w:ascii="仿宋" w:hAnsi="仿宋" w:eastAsia="仿宋" w:cs="仿宋_GB2312"/>
          <w:color w:val="000000"/>
          <w:szCs w:val="30"/>
        </w:rPr>
        <w:t>出资人的名称、法定代表人、注册地址、股权结构、实际控制人、核心主业及经营情况、主要财务数据（不限于现金流、财务杠杆率等）、所在行业情况、行业地位及排名等情况</w:t>
      </w:r>
      <w:r>
        <w:rPr>
          <w:rFonts w:hint="eastAsia" w:ascii="仿宋" w:hAnsi="仿宋" w:eastAsia="仿宋" w:cs="仿宋_GB2312"/>
          <w:szCs w:val="30"/>
        </w:rPr>
        <w:t>；</w:t>
      </w:r>
    </w:p>
    <w:p>
      <w:pPr>
        <w:tabs>
          <w:tab w:val="left" w:pos="900"/>
          <w:tab w:val="left" w:pos="1080"/>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②营业执照复印件；</w:t>
      </w:r>
    </w:p>
    <w:p>
      <w:pPr>
        <w:tabs>
          <w:tab w:val="left" w:pos="900"/>
          <w:tab w:val="left" w:pos="1080"/>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③公司章程；</w:t>
      </w:r>
    </w:p>
    <w:p>
      <w:pPr>
        <w:tabs>
          <w:tab w:val="left" w:pos="900"/>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szCs w:val="30"/>
        </w:rPr>
        <w:t>④</w:t>
      </w:r>
      <w:r>
        <w:rPr>
          <w:rFonts w:hint="eastAsia" w:ascii="仿宋" w:hAnsi="仿宋" w:eastAsia="仿宋" w:cs="仿宋_GB2312"/>
          <w:color w:val="000000"/>
          <w:szCs w:val="30"/>
        </w:rPr>
        <w:t>税务机关出具的纳税情况证明（如信用等级证明或完税证明）。</w:t>
      </w:r>
    </w:p>
    <w:p>
      <w:pPr>
        <w:tabs>
          <w:tab w:val="left" w:pos="105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境内出资人的营业执照复印件应注明与原件一致，并加盖本单位公章，境外出资人的营业执照或注册文件复印件、经营金融业务许可文件复印件、授权书、责任保证书应经其所在国家或地区认可的机构公证，并且经中华人民共和国驻该国使、领馆认证。</w:t>
      </w:r>
    </w:p>
    <w:p>
      <w:pPr>
        <w:numPr>
          <w:ilvl w:val="0"/>
          <w:numId w:val="37"/>
        </w:numPr>
        <w:tabs>
          <w:tab w:val="left" w:pos="105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出资人关联方情况。内容包含：</w:t>
      </w:r>
    </w:p>
    <w:p>
      <w:pPr>
        <w:tabs>
          <w:tab w:val="left" w:pos="105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①出资人及所在集团的组织结构图；</w:t>
      </w:r>
    </w:p>
    <w:p>
      <w:pPr>
        <w:tabs>
          <w:tab w:val="left" w:pos="105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②出资人的主要股东名册及其从事的主要业务介绍；</w:t>
      </w:r>
    </w:p>
    <w:p>
      <w:pPr>
        <w:tabs>
          <w:tab w:val="left" w:pos="105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③出资人持股比例达到20％，或者持股比例未达到20％但处于最大股东地位的公司名册及其从事的主要业务介绍；</w:t>
      </w:r>
    </w:p>
    <w:p>
      <w:pPr>
        <w:tabs>
          <w:tab w:val="left" w:pos="105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④出资人之间的关联状况；</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⑤出资人及其关联方入股其他信托公司的情况；</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szCs w:val="30"/>
        </w:rPr>
        <w:t>⑥对出资人有实际影响力的其他个人和机构的有关情况。</w:t>
      </w:r>
    </w:p>
    <w:p>
      <w:pPr>
        <w:numPr>
          <w:ilvl w:val="0"/>
          <w:numId w:val="37"/>
        </w:num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color w:val="000000"/>
          <w:szCs w:val="30"/>
        </w:rPr>
        <w:t>出资人股东（大）会或董事会关于同意发起设立该信托公司的决议。</w:t>
      </w:r>
    </w:p>
    <w:p>
      <w:pPr>
        <w:numPr>
          <w:ilvl w:val="0"/>
          <w:numId w:val="37"/>
        </w:num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出资协议。应明确各出资人的出资比例、权利、义务等事项，</w:t>
      </w:r>
      <w:r>
        <w:rPr>
          <w:rFonts w:hint="eastAsia" w:ascii="仿宋" w:hAnsi="仿宋" w:eastAsia="仿宋" w:cs="仿宋_GB2312"/>
          <w:szCs w:val="30"/>
        </w:rPr>
        <w:t>并授权出资比例最大的出资人作为申请人代表全体出资人办理筹建申请事宜</w:t>
      </w:r>
      <w:r>
        <w:rPr>
          <w:rFonts w:hint="eastAsia" w:ascii="仿宋" w:hAnsi="仿宋" w:eastAsia="仿宋" w:cs="仿宋_GB2312"/>
          <w:kern w:val="0"/>
          <w:szCs w:val="30"/>
        </w:rPr>
        <w:t>。</w:t>
      </w:r>
    </w:p>
    <w:p>
      <w:pPr>
        <w:tabs>
          <w:tab w:val="left" w:pos="105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color w:val="000000"/>
          <w:szCs w:val="30"/>
        </w:rPr>
        <w:t>（8）出资</w:t>
      </w:r>
      <w:r>
        <w:rPr>
          <w:rFonts w:hint="eastAsia" w:ascii="仿宋" w:hAnsi="仿宋" w:eastAsia="仿宋" w:cs="仿宋_GB2312"/>
          <w:kern w:val="0"/>
          <w:szCs w:val="30"/>
        </w:rPr>
        <w:t>人的资信情况或接受监管的情况。包括：</w:t>
      </w:r>
    </w:p>
    <w:p>
      <w:pPr>
        <w:tabs>
          <w:tab w:val="left" w:pos="105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kern w:val="0"/>
          <w:szCs w:val="30"/>
        </w:rPr>
        <w:t>①出资人为境内非金融机构的，应提供</w:t>
      </w:r>
      <w:r>
        <w:rPr>
          <w:rFonts w:hint="eastAsia" w:ascii="仿宋" w:hAnsi="仿宋" w:eastAsia="仿宋" w:cs="仿宋_GB2312"/>
          <w:color w:val="000000"/>
          <w:szCs w:val="30"/>
        </w:rPr>
        <w:t>近2年无不良信贷记录的证明（如贷款银行出具的资信证明或中国人民银行征信中心出具的企业信用报告）；</w:t>
      </w:r>
    </w:p>
    <w:p>
      <w:pPr>
        <w:tabs>
          <w:tab w:val="left" w:pos="900"/>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②出资人为境内金融机构的，应提供相关监管部门对其最近2年的守法合规情况以及投资设立信托公司的意见函；</w:t>
      </w:r>
    </w:p>
    <w:p>
      <w:pPr>
        <w:tabs>
          <w:tab w:val="left" w:pos="105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③出资人为境外金融机构的，应提供本机构反洗钱制度、注册地金融监管当局关于反洗钱的法规要求、注册地金融监管当局出具的该金融机构在注册地守法合规情况以及是否同意其在中国设立信托公司的书面意见、</w:t>
      </w:r>
      <w:r>
        <w:rPr>
          <w:rFonts w:hint="eastAsia" w:ascii="仿宋" w:hAnsi="仿宋" w:eastAsia="仿宋" w:cs="仿宋_GB2312"/>
          <w:color w:val="000000"/>
          <w:kern w:val="0"/>
          <w:szCs w:val="30"/>
        </w:rPr>
        <w:t>银监会认可的国际评级机构</w:t>
      </w:r>
      <w:r>
        <w:rPr>
          <w:rFonts w:hint="eastAsia" w:ascii="仿宋" w:hAnsi="仿宋" w:eastAsia="仿宋" w:cs="仿宋_GB2312"/>
          <w:color w:val="000000"/>
          <w:szCs w:val="30"/>
        </w:rPr>
        <w:t>对其最近2年的信用评级报告。</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（9）出资人最近2个会计年度的审计报告。</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（10）出资人法定代表人签署的有关声明和承诺：</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①5年内不转让所持信托公司股权（银监会依法责令转让的除外）的承诺；</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②不将所持有的信托公司股权进行质押或设立信托的承诺；</w:t>
      </w:r>
    </w:p>
    <w:p>
      <w:pPr>
        <w:tabs>
          <w:tab w:val="left" w:pos="105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③履行信托公司恢复与处置计划义务的承诺；</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④用于出资的资金为自有资金、非他人委托资金或债务资金等非自有资金的声明；</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⑤最近2年内无重大违法违规行为的声明；</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⑥与设立后的信托公司不发生违规关联交易的声明；</w:t>
      </w:r>
    </w:p>
    <w:p>
      <w:pPr>
        <w:tabs>
          <w:tab w:val="left" w:pos="900"/>
          <w:tab w:val="left" w:pos="1080"/>
          <w:tab w:val="left" w:pos="1193"/>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⑦未代他人持有信托公司股权的声明；</w:t>
      </w:r>
    </w:p>
    <w:p>
      <w:pPr>
        <w:tabs>
          <w:tab w:val="left" w:pos="105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⑧确认所提供</w:t>
      </w:r>
      <w:r>
        <w:rPr>
          <w:rFonts w:hint="eastAsia" w:ascii="仿宋" w:hAnsi="仿宋" w:eastAsia="仿宋" w:cs="仿宋_GB2312"/>
          <w:szCs w:val="30"/>
        </w:rPr>
        <w:t>申请材料内容和相关数据真实、复印件均与原件一致</w:t>
      </w:r>
      <w:r>
        <w:rPr>
          <w:rFonts w:hint="eastAsia" w:ascii="仿宋" w:hAnsi="仿宋" w:eastAsia="仿宋" w:cs="仿宋_GB2312"/>
          <w:kern w:val="0"/>
          <w:szCs w:val="30"/>
        </w:rPr>
        <w:t>的声明。</w:t>
      </w:r>
    </w:p>
    <w:p>
      <w:pPr>
        <w:tabs>
          <w:tab w:val="left" w:pos="840"/>
          <w:tab w:val="left" w:pos="1050"/>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（11）工商行政管理机关出具的拟设机构企业名称预先核准通知书复印件。</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（12）</w:t>
      </w:r>
      <w:r>
        <w:rPr>
          <w:rFonts w:hint="eastAsia" w:ascii="仿宋" w:hAnsi="仿宋" w:eastAsia="仿宋" w:cs="仿宋_GB2312"/>
          <w:color w:val="000000"/>
          <w:szCs w:val="30"/>
        </w:rPr>
        <w:t>筹建方案。内容包含筹建工作安排；拟设机构组织管理架构、风险管理体系、内控体系；拟聘高级管理人员及其他从业人员的计划；选址方案；经授权的筹建组人员名单、履历和分工、联系地址和电话。</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（13）律师事务所出具的申请人</w:t>
      </w:r>
      <w:r>
        <w:rPr>
          <w:rFonts w:hint="eastAsia" w:ascii="仿宋" w:hAnsi="仿宋" w:eastAsia="仿宋" w:cs="仿宋_GB2312"/>
          <w:kern w:val="0"/>
          <w:szCs w:val="30"/>
        </w:rPr>
        <w:t>在主体资格、筹建程序、申请材料等方面</w:t>
      </w:r>
      <w:r>
        <w:rPr>
          <w:rFonts w:hint="eastAsia" w:ascii="仿宋" w:hAnsi="仿宋" w:eastAsia="仿宋" w:cs="仿宋_GB2312"/>
          <w:color w:val="000000"/>
          <w:kern w:val="0"/>
          <w:szCs w:val="30"/>
        </w:rPr>
        <w:t>合法合规性及完整性的法律意见书。</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（14）</w:t>
      </w:r>
      <w:r>
        <w:rPr>
          <w:rFonts w:hint="eastAsia" w:ascii="仿宋" w:hAnsi="仿宋" w:eastAsia="仿宋" w:cs="仿宋_GB2312"/>
          <w:color w:val="000000"/>
          <w:szCs w:val="30"/>
        </w:rPr>
        <w:t>银监会按照审慎性原则规定的其他文件</w:t>
      </w:r>
      <w:r>
        <w:rPr>
          <w:rFonts w:hint="eastAsia" w:ascii="仿宋" w:hAnsi="仿宋" w:eastAsia="仿宋" w:cs="仿宋_GB2312"/>
          <w:color w:val="000000"/>
          <w:kern w:val="0"/>
          <w:szCs w:val="30"/>
        </w:rPr>
        <w:t>。</w:t>
      </w:r>
    </w:p>
    <w:p>
      <w:pPr>
        <w:adjustRightInd w:val="0"/>
        <w:snapToGrid w:val="0"/>
        <w:spacing w:line="312" w:lineRule="auto"/>
        <w:ind w:firstLine="422" w:firstLineChars="200"/>
        <w:outlineLvl w:val="4"/>
        <w:rPr>
          <w:rFonts w:hint="eastAsia" w:ascii="仿宋" w:hAnsi="仿宋" w:eastAsia="仿宋" w:cs="仿宋_GB2312"/>
          <w:b/>
          <w:color w:val="000000"/>
          <w:szCs w:val="30"/>
        </w:rPr>
      </w:pPr>
      <w:r>
        <w:rPr>
          <w:rFonts w:hint="eastAsia" w:ascii="仿宋" w:hAnsi="仿宋" w:eastAsia="仿宋" w:cs="仿宋_GB2312"/>
          <w:b/>
          <w:color w:val="000000"/>
          <w:szCs w:val="30"/>
        </w:rPr>
        <w:t>1.2信托公司法人机构开业审批</w:t>
      </w:r>
    </w:p>
    <w:p>
      <w:pPr>
        <w:adjustRightInd w:val="0"/>
        <w:snapToGrid w:val="0"/>
        <w:spacing w:line="312" w:lineRule="auto"/>
        <w:ind w:firstLine="422" w:firstLineChars="200"/>
        <w:rPr>
          <w:rFonts w:hint="eastAsia" w:ascii="仿宋" w:hAnsi="仿宋" w:eastAsia="仿宋" w:cs="仿宋_GB2312"/>
          <w:b/>
          <w:color w:val="000000"/>
          <w:szCs w:val="30"/>
        </w:rPr>
      </w:pPr>
      <w:r>
        <w:rPr>
          <w:rFonts w:hint="eastAsia" w:ascii="仿宋" w:hAnsi="仿宋" w:eastAsia="仿宋" w:cs="仿宋_GB2312"/>
          <w:b/>
          <w:color w:val="000000"/>
          <w:szCs w:val="30"/>
        </w:rPr>
        <w:t>申请材料目录：</w:t>
      </w:r>
    </w:p>
    <w:p>
      <w:pPr>
        <w:numPr>
          <w:ilvl w:val="0"/>
          <w:numId w:val="38"/>
        </w:num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申请书。内容至少包含机构名称（中英文全称）、住所；筹备完成情况，是否在注册资本、股本结构、股东资格、董事、高级管理人员的任职资格等方面具备开业条件，以及对第一次股东（大）会、董事会和监事会组成及通过各项决议的相关情况的说明；需经任职资格核准的拟任董事及高级管理人员情况；拟开办业务及制度、系统的准备情况；从业人员情况以及从事过信托业务和其他金融业务的人员比例等事项。</w:t>
      </w:r>
    </w:p>
    <w:p>
      <w:pPr>
        <w:adjustRightInd w:val="0"/>
        <w:snapToGrid w:val="0"/>
        <w:spacing w:line="312" w:lineRule="auto"/>
        <w:ind w:firstLine="420" w:firstLineChars="200"/>
        <w:rPr>
          <w:rFonts w:hint="eastAsia" w:ascii="仿宋" w:hAnsi="仿宋" w:eastAsia="仿宋" w:cs="仿宋_GB2312"/>
          <w:bCs/>
          <w:color w:val="FF0000"/>
          <w:szCs w:val="30"/>
        </w:rPr>
      </w:pPr>
      <w:r>
        <w:rPr>
          <w:rFonts w:hint="eastAsia" w:ascii="仿宋" w:hAnsi="仿宋" w:eastAsia="仿宋" w:cs="仿宋_GB2312"/>
          <w:color w:val="000000"/>
          <w:szCs w:val="30"/>
        </w:rPr>
        <w:t>申请书应经申请人法定代表人签署并加盖单位公章。</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（2）第一次股东（大）会、董事会通过的相关决议。其中至少应包含：审议通过公司章程的决议,选举董事的决议,选举董事长及拟聘任高级管理人员的决议。</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3）公司章程草案。原则上应依照《中华人民共和国公司法》、《中华人民共和国信托法》、《信托公司管理办法》、《信托公司治理指引》等现行的相关法律法规；同时，还应包含出资人5年内不转让所持信托公司股权（银监会依法责令转让的除外），不将所持有的信托公司股权进行质押或设立信托等内容。</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（4）经股东（大）会决议通过的信托公司恢复与处置计划。</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（5）主要管理制度，包含股东会、董事会议事规则及拟设专门委员会议事规则、各项业务风险管理制度和内控制度。</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（6）公司管理信息系统及风险控制系统介绍。</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（7）拟任职董事、高级管理人员任职资格的相关材料，详见本《目录》“五、董事和高级管理人员任职资格核准”部分。</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（8）公司的组织结构图及各部门职责分工授权图。</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（9）从业人员情况表（内容包括所在部门及职务、人员姓名、年龄、学历、工作年限、金融从业年限），并附部门负责人详细履历，身份证、学历学位证书、专业技术证书复印件。</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（10）工商行政管理机关出具的对拟设机构名称预核准通知书复印件。</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（11）法定验资机构出具的验资证明。</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（12）股东名册及其出资额、出资比例。</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（13）公司营业场所的所有权或使用权证明。</w:t>
      </w:r>
    </w:p>
    <w:p>
      <w:pPr>
        <w:adjustRightInd w:val="0"/>
        <w:snapToGrid w:val="0"/>
        <w:spacing w:line="312" w:lineRule="auto"/>
        <w:ind w:firstLine="420" w:firstLineChars="200"/>
        <w:rPr>
          <w:rFonts w:hint="eastAsia" w:ascii="仿宋" w:hAnsi="仿宋" w:eastAsia="仿宋" w:cs="仿宋_GB2312"/>
          <w:bCs/>
          <w:color w:val="FF0000"/>
          <w:szCs w:val="30"/>
        </w:rPr>
      </w:pPr>
      <w:r>
        <w:rPr>
          <w:rFonts w:hint="eastAsia" w:ascii="仿宋" w:hAnsi="仿宋" w:eastAsia="仿宋" w:cs="仿宋_GB2312"/>
          <w:color w:val="000000"/>
          <w:szCs w:val="30"/>
        </w:rPr>
        <w:t>（14）</w:t>
      </w:r>
      <w:r>
        <w:rPr>
          <w:rFonts w:hint="eastAsia" w:ascii="仿宋" w:hAnsi="仿宋" w:eastAsia="仿宋" w:cs="仿宋_GB2312"/>
          <w:kern w:val="0"/>
          <w:szCs w:val="30"/>
        </w:rPr>
        <w:t>公安、消防部门出具的新住所或营业场所安全设施符合有关规定的证明。拟迁入的新营业场所的工程竣工验收报告复印件以及公安消防部门出具的消防设计备案凭证、竣工验收消防备案凭证复印件。被公安消防部门确定为抽查对象的，还应提供抽查验收合格证明复印件。</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（15）申请人筹建组负责人签署的确认所提供资料真实性的声明。</w:t>
      </w:r>
    </w:p>
    <w:p>
      <w:pPr>
        <w:adjustRightInd w:val="0"/>
        <w:snapToGrid w:val="0"/>
        <w:spacing w:line="312" w:lineRule="auto"/>
        <w:ind w:firstLine="420" w:firstLineChars="200"/>
        <w:rPr>
          <w:rFonts w:hint="eastAsia" w:ascii="仿宋" w:hAnsi="仿宋" w:eastAsia="仿宋" w:cs="仿宋_GB2312"/>
          <w:iCs/>
          <w:szCs w:val="30"/>
        </w:rPr>
      </w:pPr>
      <w:r>
        <w:rPr>
          <w:rFonts w:hint="eastAsia" w:ascii="仿宋" w:hAnsi="仿宋" w:eastAsia="仿宋" w:cs="仿宋_GB2312"/>
          <w:color w:val="000000"/>
          <w:kern w:val="0"/>
          <w:szCs w:val="30"/>
        </w:rPr>
        <w:t>（16）律师事务所出具的申请人在</w:t>
      </w:r>
      <w:r>
        <w:rPr>
          <w:rFonts w:hint="eastAsia" w:ascii="仿宋" w:hAnsi="仿宋" w:eastAsia="仿宋" w:cs="仿宋_GB2312"/>
          <w:szCs w:val="30"/>
        </w:rPr>
        <w:t>申请开业的条件、程序、材料等方面合法合规性和完整性</w:t>
      </w:r>
      <w:r>
        <w:rPr>
          <w:rFonts w:hint="eastAsia" w:ascii="仿宋" w:hAnsi="仿宋" w:eastAsia="仿宋" w:cs="仿宋_GB2312"/>
          <w:kern w:val="0"/>
          <w:szCs w:val="30"/>
        </w:rPr>
        <w:t>的法律意见书</w:t>
      </w:r>
      <w:r>
        <w:rPr>
          <w:rFonts w:hint="eastAsia" w:ascii="仿宋" w:hAnsi="仿宋" w:eastAsia="仿宋" w:cs="仿宋_GB2312"/>
          <w:iCs/>
          <w:szCs w:val="30"/>
        </w:rPr>
        <w:t>。</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（17）银监会按照审慎性原则规定的其他文件。</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信托公司法人机构开业后续事项报告材料目录：</w:t>
      </w:r>
    </w:p>
    <w:p>
      <w:pPr>
        <w:adjustRightInd w:val="0"/>
        <w:snapToGrid w:val="0"/>
        <w:spacing w:line="312" w:lineRule="auto"/>
        <w:ind w:left="540"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（1）完成开业登记程序、正式开始营业的报告。</w:t>
      </w:r>
    </w:p>
    <w:p>
      <w:pPr>
        <w:adjustRightInd w:val="0"/>
        <w:snapToGrid w:val="0"/>
        <w:spacing w:line="312" w:lineRule="auto"/>
        <w:ind w:left="540"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（2）公司营业执照复印件</w:t>
      </w:r>
      <w:bookmarkStart w:id="1118" w:name="_Hlt83718054"/>
      <w:bookmarkEnd w:id="1118"/>
      <w:r>
        <w:rPr>
          <w:rFonts w:hint="eastAsia" w:ascii="仿宋" w:hAnsi="仿宋" w:eastAsia="仿宋" w:cs="仿宋_GB2312"/>
          <w:color w:val="000000"/>
          <w:kern w:val="0"/>
          <w:szCs w:val="30"/>
        </w:rPr>
        <w:t>。</w:t>
      </w:r>
    </w:p>
    <w:p>
      <w:pPr>
        <w:adjustRightInd w:val="0"/>
        <w:snapToGrid w:val="0"/>
        <w:spacing w:line="312" w:lineRule="auto"/>
        <w:ind w:left="540"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（3）银监会按照审慎性原则规定的其他文件。</w:t>
      </w:r>
    </w:p>
    <w:p>
      <w:pPr>
        <w:pStyle w:val="5"/>
        <w:spacing w:before="0" w:beforeAutospacing="0" w:after="0" w:afterAutospacing="0" w:line="312" w:lineRule="auto"/>
        <w:rPr>
          <w:rFonts w:hint="eastAsia" w:ascii="仿宋" w:hAnsi="仿宋" w:eastAsia="仿宋" w:cs="仿宋_GB2312"/>
          <w:sz w:val="21"/>
          <w:szCs w:val="30"/>
        </w:rPr>
      </w:pPr>
      <w:bookmarkStart w:id="1119" w:name="_Toc24280"/>
      <w:bookmarkStart w:id="1120" w:name="_Toc2828"/>
      <w:bookmarkStart w:id="1121" w:name="_Toc17987"/>
      <w:bookmarkStart w:id="1122" w:name="_Toc421891315"/>
      <w:bookmarkStart w:id="1123" w:name="_Toc19822"/>
      <w:bookmarkStart w:id="1124" w:name="_Toc29657"/>
      <w:bookmarkStart w:id="1125" w:name="_Toc12687"/>
      <w:bookmarkStart w:id="1126" w:name="_Toc26581"/>
      <w:bookmarkStart w:id="1127" w:name="_Toc6136"/>
      <w:bookmarkStart w:id="1128" w:name="_Toc24434"/>
      <w:bookmarkStart w:id="1129" w:name="_Toc16938"/>
      <w:bookmarkStart w:id="1130" w:name="_Toc22087"/>
      <w:bookmarkStart w:id="1131" w:name="_Toc7798"/>
      <w:r>
        <w:rPr>
          <w:rFonts w:hint="eastAsia" w:ascii="仿宋" w:hAnsi="仿宋" w:eastAsia="仿宋" w:cs="仿宋_GB2312"/>
          <w:sz w:val="21"/>
          <w:szCs w:val="30"/>
        </w:rPr>
        <w:t>（二）投资设立、参股、收购境外机构</w:t>
      </w:r>
      <w:bookmarkEnd w:id="1119"/>
      <w:bookmarkEnd w:id="1120"/>
      <w:bookmarkEnd w:id="1121"/>
      <w:bookmarkEnd w:id="1122"/>
      <w:bookmarkEnd w:id="1123"/>
      <w:bookmarkEnd w:id="1124"/>
      <w:bookmarkEnd w:id="1125"/>
      <w:bookmarkEnd w:id="1126"/>
      <w:bookmarkEnd w:id="1127"/>
      <w:bookmarkEnd w:id="1128"/>
      <w:bookmarkEnd w:id="1129"/>
      <w:bookmarkEnd w:id="1130"/>
      <w:bookmarkEnd w:id="1131"/>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1.3信托公司投资设立、参股、收购境外机构审批</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pStyle w:val="33"/>
        <w:tabs>
          <w:tab w:val="left" w:pos="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（1）申请书。内容至少包含申请人的经营状况和符合审慎监管指标要求的情况，投资设立、参股、收购境外机构的中英文全称、所在地以及业务范围，设立、参股或收购的原因或目的、金额及持股比例等。</w:t>
      </w:r>
    </w:p>
    <w:p>
      <w:pPr>
        <w:pStyle w:val="33"/>
        <w:tabs>
          <w:tab w:val="left" w:pos="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2）可行性研究报告。内容包含申请人海外发展战略，设立、参股或收购行为对申请人的财务、经营、业务拓展、管理等方面的影响。设立、参股或收购机构的市场环境分析（包括同业竞争对手情况）、市场定位及目标客户、业务拓展策略、风险控制等。申请人资本拨付能力和并表管理能力。投资设立、参股、收购境外机构未来3年的资产负债规模、盈利水平、流动性状况、资本充足率、资本收益率、资产收益率等预测情况。</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（3）股东（大）会或董事会同意投资设立、参股、收购境外机构的决议。</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（4）申请人关于投资设立、参股或收购境外机构的内部控制机制说明，以及海外派驻人员的简历或工作背景、职位及职责描述。</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（5）申请人最近2个会计年度的审计报告。</w:t>
      </w:r>
    </w:p>
    <w:p>
      <w:pPr>
        <w:pStyle w:val="33"/>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（6）申请人最近2年无严重违法违规行为和因内部管理问题导致的重大案件的声明。</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（7）东道国相应监管要求及申请人资质条件是否符合相关监管要求的说明。</w:t>
      </w:r>
    </w:p>
    <w:p>
      <w:pPr>
        <w:pStyle w:val="33"/>
        <w:tabs>
          <w:tab w:val="left" w:pos="0"/>
          <w:tab w:val="left" w:pos="763"/>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（8）境外机构的基本信息，内容包括：</w:t>
      </w:r>
    </w:p>
    <w:p>
      <w:pPr>
        <w:pStyle w:val="33"/>
        <w:tabs>
          <w:tab w:val="left" w:pos="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①设立境外机构的，内容包含但不限于境外机构的章程、股权结构、业务范围、市场定位、同业状况、业务拓展策略、风险控制能力等。</w:t>
      </w:r>
    </w:p>
    <w:p>
      <w:pPr>
        <w:pStyle w:val="33"/>
        <w:tabs>
          <w:tab w:val="left" w:pos="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②参股、收购境外机构的，内容包含但不限于境外机构的章程、股权结构、业务范围、市场定位、资信状况、未偿还金融机构贷款本息情况、同业状况、业务拓展策略、风险控制能力、最近2个会计年度审计报告等。</w:t>
      </w:r>
    </w:p>
    <w:p>
      <w:pPr>
        <w:pStyle w:val="33"/>
        <w:tabs>
          <w:tab w:val="left" w:pos="1080"/>
        </w:tabs>
        <w:adjustRightInd w:val="0"/>
        <w:snapToGrid w:val="0"/>
        <w:spacing w:before="0" w:beforeAutospacing="0" w:after="0" w:afterAutospacing="0" w:line="312" w:lineRule="auto"/>
        <w:ind w:left="638" w:leftChars="304" w:firstLine="420" w:firstLineChars="200"/>
        <w:rPr>
          <w:rFonts w:hint="eastAsia" w:ascii="仿宋" w:hAnsi="仿宋" w:eastAsia="仿宋" w:cs="仿宋_GB2312"/>
          <w:sz w:val="21"/>
          <w:szCs w:val="30"/>
        </w:rPr>
      </w:pPr>
      <w:r>
        <w:rPr>
          <w:rFonts w:hint="eastAsia" w:ascii="仿宋" w:hAnsi="仿宋" w:eastAsia="仿宋" w:cs="仿宋_GB2312"/>
          <w:sz w:val="21"/>
          <w:szCs w:val="30"/>
        </w:rPr>
        <w:t>（9）有关参股、收购协议或意向性协议及相关法律文件。（10）银监会按照审慎性原则规定的其他文件。</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bCs/>
          <w:sz w:val="21"/>
          <w:szCs w:val="30"/>
        </w:rPr>
      </w:pPr>
      <w:bookmarkStart w:id="1132" w:name="_Toc5369"/>
      <w:bookmarkStart w:id="1133" w:name="_Toc14618"/>
      <w:bookmarkStart w:id="1134" w:name="_Toc3758"/>
      <w:bookmarkStart w:id="1135" w:name="_Toc29897"/>
      <w:bookmarkStart w:id="1136" w:name="_Toc81193996"/>
      <w:bookmarkStart w:id="1137" w:name="_Toc77782656"/>
      <w:bookmarkStart w:id="1138" w:name="_Toc181087986"/>
      <w:r>
        <w:rPr>
          <w:rFonts w:hint="eastAsia" w:ascii="仿宋" w:hAnsi="仿宋" w:eastAsia="仿宋" w:cs="仿宋_GB2312"/>
          <w:bCs/>
          <w:sz w:val="21"/>
          <w:szCs w:val="30"/>
        </w:rPr>
        <w:t>信托公司投资设立、参股、收购境外机构完成情况报告目录：</w:t>
      </w:r>
      <w:bookmarkEnd w:id="1132"/>
      <w:bookmarkEnd w:id="1133"/>
      <w:bookmarkEnd w:id="1134"/>
      <w:bookmarkEnd w:id="1135"/>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bookmarkStart w:id="1139" w:name="_Toc21971"/>
      <w:bookmarkStart w:id="1140" w:name="_Toc15337"/>
      <w:bookmarkStart w:id="1141" w:name="_Toc30581"/>
      <w:bookmarkStart w:id="1142" w:name="_Toc17615"/>
      <w:bookmarkStart w:id="1143" w:name="_Toc29855"/>
      <w:r>
        <w:rPr>
          <w:rFonts w:hint="eastAsia" w:ascii="仿宋" w:hAnsi="仿宋" w:eastAsia="仿宋" w:cs="仿宋_GB2312"/>
          <w:sz w:val="21"/>
          <w:szCs w:val="30"/>
        </w:rPr>
        <w:t>（1）投资设立、参股或收购的境外机构的名称、成立时间、注册地点、注册资本、注资币种等情况说明。</w:t>
      </w:r>
      <w:bookmarkEnd w:id="1139"/>
      <w:bookmarkEnd w:id="1140"/>
      <w:bookmarkEnd w:id="1141"/>
      <w:bookmarkEnd w:id="1142"/>
      <w:bookmarkEnd w:id="1143"/>
    </w:p>
    <w:p>
      <w:pPr>
        <w:pStyle w:val="33"/>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bookmarkStart w:id="1144" w:name="_Toc4760"/>
      <w:bookmarkStart w:id="1145" w:name="_Toc21529"/>
      <w:bookmarkStart w:id="1146" w:name="_Toc673"/>
      <w:bookmarkStart w:id="1147" w:name="_Toc9097"/>
      <w:bookmarkStart w:id="1148" w:name="_Toc28583"/>
      <w:r>
        <w:rPr>
          <w:rFonts w:hint="eastAsia" w:ascii="仿宋" w:hAnsi="仿宋" w:eastAsia="仿宋" w:cs="仿宋_GB2312"/>
          <w:sz w:val="21"/>
          <w:szCs w:val="30"/>
        </w:rPr>
        <w:t>（2）银监会按照审慎性原则规定的其他文件。</w:t>
      </w:r>
      <w:bookmarkEnd w:id="1144"/>
      <w:bookmarkEnd w:id="1145"/>
      <w:bookmarkEnd w:id="1146"/>
      <w:bookmarkEnd w:id="1147"/>
      <w:bookmarkEnd w:id="1148"/>
      <w:bookmarkStart w:id="1149" w:name="_Toc24831"/>
      <w:bookmarkStart w:id="1150" w:name="_Toc8356"/>
      <w:bookmarkStart w:id="1151" w:name="_Toc2475"/>
      <w:bookmarkStart w:id="1152" w:name="_Toc31497"/>
      <w:bookmarkStart w:id="1153" w:name="_Toc14840"/>
      <w:bookmarkStart w:id="1154" w:name="_Toc9243"/>
      <w:bookmarkStart w:id="1155" w:name="_Toc15844"/>
      <w:bookmarkStart w:id="1156" w:name="_Toc30072"/>
      <w:bookmarkStart w:id="1157" w:name="_Toc15677"/>
      <w:bookmarkStart w:id="1158" w:name="_Toc25464"/>
      <w:bookmarkStart w:id="1159" w:name="_Toc31538"/>
      <w:bookmarkStart w:id="1160" w:name="_Toc4330"/>
      <w:bookmarkStart w:id="1161" w:name="_Toc15737"/>
      <w:bookmarkStart w:id="1162" w:name="_Toc421891316"/>
    </w:p>
    <w:p>
      <w:pPr>
        <w:pStyle w:val="4"/>
        <w:spacing w:before="0" w:after="0" w:line="312" w:lineRule="auto"/>
        <w:rPr>
          <w:rFonts w:hint="eastAsia" w:ascii="仿宋" w:hAnsi="仿宋" w:eastAsia="仿宋" w:cs="仿宋_GB2312"/>
          <w:bCs w:val="0"/>
          <w:sz w:val="21"/>
          <w:szCs w:val="30"/>
        </w:rPr>
      </w:pPr>
      <w:bookmarkStart w:id="1163" w:name="_Toc518836338"/>
      <w:r>
        <w:rPr>
          <w:rFonts w:hint="eastAsia" w:ascii="仿宋" w:hAnsi="仿宋" w:eastAsia="仿宋" w:cs="仿宋_GB2312"/>
          <w:bCs w:val="0"/>
          <w:sz w:val="21"/>
          <w:szCs w:val="30"/>
        </w:rPr>
        <w:t>二、机</w:t>
      </w:r>
      <w:bookmarkStart w:id="1164" w:name="_Hlt83742446"/>
      <w:bookmarkEnd w:id="1164"/>
      <w:r>
        <w:rPr>
          <w:rFonts w:hint="eastAsia" w:ascii="仿宋" w:hAnsi="仿宋" w:eastAsia="仿宋" w:cs="仿宋_GB2312"/>
          <w:bCs w:val="0"/>
          <w:sz w:val="21"/>
          <w:szCs w:val="30"/>
        </w:rPr>
        <w:t>构变更</w:t>
      </w:r>
      <w:bookmarkEnd w:id="1136"/>
      <w:bookmarkEnd w:id="1137"/>
      <w:bookmarkEnd w:id="113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p>
    <w:p>
      <w:pPr>
        <w:pStyle w:val="5"/>
        <w:spacing w:before="0" w:beforeAutospacing="0" w:after="0" w:afterAutospacing="0" w:line="312" w:lineRule="auto"/>
        <w:rPr>
          <w:rFonts w:hint="eastAsia" w:ascii="仿宋" w:hAnsi="仿宋" w:eastAsia="仿宋" w:cs="仿宋_GB2312"/>
          <w:sz w:val="21"/>
          <w:szCs w:val="30"/>
        </w:rPr>
      </w:pPr>
      <w:bookmarkStart w:id="1165" w:name="_Toc8235"/>
      <w:bookmarkStart w:id="1166" w:name="_Toc11482"/>
      <w:bookmarkStart w:id="1167" w:name="_Toc13584"/>
      <w:bookmarkStart w:id="1168" w:name="_Toc25435"/>
      <w:bookmarkStart w:id="1169" w:name="_Toc27862"/>
      <w:bookmarkStart w:id="1170" w:name="_Toc4978"/>
      <w:bookmarkStart w:id="1171" w:name="_Toc5804"/>
      <w:bookmarkStart w:id="1172" w:name="_Toc6015"/>
      <w:bookmarkStart w:id="1173" w:name="_Toc1080"/>
      <w:bookmarkStart w:id="1174" w:name="_Toc181087988"/>
      <w:bookmarkStart w:id="1175" w:name="_Toc7375"/>
      <w:bookmarkStart w:id="1176" w:name="_Toc10428"/>
      <w:bookmarkStart w:id="1177" w:name="_Toc5242"/>
      <w:bookmarkStart w:id="1178" w:name="_Toc26741"/>
      <w:bookmarkStart w:id="1179" w:name="_Toc421891317"/>
      <w:r>
        <w:rPr>
          <w:rFonts w:hint="eastAsia" w:ascii="仿宋" w:hAnsi="仿宋" w:eastAsia="仿宋" w:cs="仿宋_GB2312"/>
          <w:sz w:val="21"/>
          <w:szCs w:val="30"/>
        </w:rPr>
        <w:t>（一）变更名称</w:t>
      </w:r>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p>
    <w:p>
      <w:pPr>
        <w:adjustRightInd w:val="0"/>
        <w:snapToGrid w:val="0"/>
        <w:spacing w:line="312" w:lineRule="auto"/>
        <w:ind w:firstLine="422" w:firstLineChars="200"/>
        <w:outlineLvl w:val="4"/>
        <w:rPr>
          <w:rFonts w:hint="eastAsia" w:ascii="仿宋" w:hAnsi="仿宋" w:eastAsia="仿宋" w:cs="仿宋_GB2312"/>
          <w:b/>
          <w:szCs w:val="30"/>
        </w:rPr>
      </w:pPr>
      <w:r>
        <w:rPr>
          <w:rFonts w:hint="eastAsia" w:ascii="仿宋" w:hAnsi="仿宋" w:eastAsia="仿宋" w:cs="仿宋_GB2312"/>
          <w:b/>
          <w:szCs w:val="30"/>
        </w:rPr>
        <w:t>2.1信托公司变更名称审批</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（1）申请书。内容包含申请人基本情况、更名的原因或目的、拟变更的新名称（中英文全称）等。</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（2）股东（大）会或董事会同意变更名称的决议。</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（3）工商行政管理部门的企业名称预核准通知书复印件。</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（4）金融许可证复印件。</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信托公司变更名称完成情况报告材料目录：</w:t>
      </w:r>
    </w:p>
    <w:p>
      <w:pPr>
        <w:tabs>
          <w:tab w:val="left" w:pos="108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（1）完成名称变更后续有关程序的报告。包含更换金融许可证、工商注册变更、与公司名称有关的标志、标识、印章的更换等情况说明。</w:t>
      </w:r>
    </w:p>
    <w:p>
      <w:pPr>
        <w:tabs>
          <w:tab w:val="left" w:pos="1080"/>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kern w:val="0"/>
          <w:szCs w:val="30"/>
        </w:rPr>
        <w:t>（2）新营业执照复印件。</w:t>
      </w:r>
    </w:p>
    <w:p>
      <w:pPr>
        <w:pStyle w:val="5"/>
        <w:spacing w:before="0" w:beforeAutospacing="0" w:after="0" w:afterAutospacing="0" w:line="312" w:lineRule="auto"/>
        <w:rPr>
          <w:rFonts w:hint="eastAsia" w:ascii="仿宋" w:hAnsi="仿宋" w:eastAsia="仿宋" w:cs="仿宋_GB2312"/>
          <w:sz w:val="21"/>
          <w:szCs w:val="30"/>
        </w:rPr>
      </w:pPr>
      <w:bookmarkStart w:id="1180" w:name="_Toc16449"/>
      <w:bookmarkStart w:id="1181" w:name="_Toc12778"/>
      <w:bookmarkStart w:id="1182" w:name="_Toc421891318"/>
      <w:bookmarkStart w:id="1183" w:name="_Toc3909"/>
      <w:bookmarkStart w:id="1184" w:name="_Toc7129"/>
      <w:bookmarkStart w:id="1185" w:name="_Toc19916"/>
      <w:bookmarkStart w:id="1186" w:name="_Toc29814"/>
      <w:bookmarkStart w:id="1187" w:name="_Toc18988"/>
      <w:bookmarkStart w:id="1188" w:name="_Toc30553"/>
      <w:bookmarkStart w:id="1189" w:name="_Toc12452"/>
      <w:bookmarkStart w:id="1190" w:name="_Toc11462"/>
      <w:bookmarkStart w:id="1191" w:name="_Toc14627"/>
      <w:bookmarkStart w:id="1192" w:name="_Toc5663"/>
      <w:bookmarkStart w:id="1193" w:name="_Toc15125"/>
      <w:r>
        <w:rPr>
          <w:rFonts w:hint="eastAsia" w:ascii="仿宋" w:hAnsi="仿宋" w:eastAsia="仿宋" w:cs="仿宋_GB2312"/>
          <w:sz w:val="21"/>
          <w:szCs w:val="30"/>
        </w:rPr>
        <w:t>（二）变更股权及调整股权结构</w:t>
      </w:r>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pPr>
        <w:adjustRightInd w:val="0"/>
        <w:snapToGrid w:val="0"/>
        <w:spacing w:line="312" w:lineRule="auto"/>
        <w:ind w:firstLine="422" w:firstLineChars="200"/>
        <w:outlineLvl w:val="4"/>
        <w:rPr>
          <w:rFonts w:hint="eastAsia" w:ascii="仿宋" w:hAnsi="仿宋" w:eastAsia="仿宋" w:cs="仿宋_GB2312"/>
          <w:b/>
          <w:szCs w:val="30"/>
        </w:rPr>
      </w:pPr>
      <w:r>
        <w:rPr>
          <w:rFonts w:hint="eastAsia" w:ascii="仿宋" w:hAnsi="仿宋" w:eastAsia="仿宋" w:cs="仿宋_GB2312"/>
          <w:b/>
          <w:szCs w:val="30"/>
        </w:rPr>
        <w:t>2.2信托公司变更股权及调整股权结构审批（含变更实际控制人审批）</w:t>
      </w:r>
    </w:p>
    <w:p>
      <w:pPr>
        <w:adjustRightInd w:val="0"/>
        <w:snapToGrid w:val="0"/>
        <w:spacing w:line="312" w:lineRule="auto"/>
        <w:ind w:firstLine="422" w:firstLineChars="200"/>
        <w:rPr>
          <w:rFonts w:hint="eastAsia" w:ascii="仿宋" w:hAnsi="仿宋" w:eastAsia="仿宋" w:cs="仿宋_GB2312"/>
          <w:b/>
          <w:szCs w:val="30"/>
        </w:rPr>
      </w:pPr>
      <w:bookmarkStart w:id="1194" w:name="_Hlt83724990"/>
      <w:bookmarkEnd w:id="1194"/>
      <w:r>
        <w:rPr>
          <w:rFonts w:hint="eastAsia" w:ascii="仿宋" w:hAnsi="仿宋" w:eastAsia="仿宋" w:cs="仿宋_GB2312"/>
          <w:b/>
          <w:szCs w:val="30"/>
        </w:rPr>
        <w:t>申请材料目录：</w:t>
      </w:r>
    </w:p>
    <w:p>
      <w:pPr>
        <w:tabs>
          <w:tab w:val="left" w:pos="900"/>
          <w:tab w:val="left" w:pos="1080"/>
        </w:tabs>
        <w:adjustRightInd w:val="0"/>
        <w:snapToGrid w:val="0"/>
        <w:spacing w:line="312" w:lineRule="auto"/>
        <w:ind w:firstLine="420" w:firstLineChars="200"/>
        <w:rPr>
          <w:rFonts w:hint="eastAsia" w:ascii="仿宋" w:hAnsi="仿宋" w:eastAsia="仿宋" w:cs="仿宋_GB2312"/>
          <w:bCs/>
          <w:color w:val="000000"/>
          <w:kern w:val="0"/>
          <w:szCs w:val="30"/>
        </w:rPr>
      </w:pPr>
      <w:r>
        <w:rPr>
          <w:rFonts w:hint="eastAsia" w:ascii="仿宋" w:hAnsi="仿宋" w:eastAsia="仿宋" w:cs="仿宋_GB2312"/>
          <w:color w:val="000000"/>
          <w:kern w:val="0"/>
          <w:szCs w:val="30"/>
        </w:rPr>
        <w:t>（1）申请书。内容至少包含申请人基本情况、是否涉及实际控制人变更及原因，出资人拟投资入股（调整股权结构）的金额、原因及对机构未来经营发展产生的影响，投资入股（调整股权结构）前后公司各出资人的出资金额、出资比例的变化情况。</w:t>
      </w:r>
    </w:p>
    <w:p>
      <w:pPr>
        <w:tabs>
          <w:tab w:val="left" w:pos="900"/>
          <w:tab w:val="left" w:pos="108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（2）股东（大）会关于同意股权变更或调整股权结构的决议或上级主管部门的批准文件。</w:t>
      </w:r>
    </w:p>
    <w:p>
      <w:pPr>
        <w:tabs>
          <w:tab w:val="left" w:pos="900"/>
          <w:tab w:val="left" w:pos="108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（3）出资人的有权决定机构或上级主管部门同意其投资入股的决议或批准文件。</w:t>
      </w:r>
    </w:p>
    <w:p>
      <w:pPr>
        <w:tabs>
          <w:tab w:val="left" w:pos="900"/>
          <w:tab w:val="left" w:pos="108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（4）有关各方签订的股权转让意向性协议。</w:t>
      </w:r>
    </w:p>
    <w:p>
      <w:pPr>
        <w:tabs>
          <w:tab w:val="left" w:pos="900"/>
          <w:tab w:val="left" w:pos="108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color w:val="000000"/>
          <w:szCs w:val="30"/>
        </w:rPr>
        <w:t>（5）经股东（大）会决议通过的信托公司恢复与处置计划</w:t>
      </w:r>
      <w:r>
        <w:rPr>
          <w:rFonts w:hint="eastAsia" w:ascii="仿宋" w:hAnsi="仿宋" w:eastAsia="仿宋" w:cs="仿宋_GB2312"/>
          <w:kern w:val="0"/>
          <w:szCs w:val="30"/>
        </w:rPr>
        <w:t>。</w:t>
      </w:r>
    </w:p>
    <w:p>
      <w:pPr>
        <w:tabs>
          <w:tab w:val="left" w:pos="720"/>
          <w:tab w:val="left" w:pos="900"/>
          <w:tab w:val="left" w:pos="1080"/>
          <w:tab w:val="left" w:pos="1193"/>
        </w:tabs>
        <w:adjustRightInd w:val="0"/>
        <w:snapToGrid w:val="0"/>
        <w:spacing w:line="312" w:lineRule="auto"/>
        <w:ind w:left="-533" w:firstLine="420" w:firstLineChars="200"/>
        <w:rPr>
          <w:rFonts w:hint="eastAsia" w:ascii="仿宋" w:hAnsi="仿宋" w:eastAsia="仿宋" w:cs="仿宋_GB2312"/>
          <w:color w:val="000000"/>
          <w:szCs w:val="30"/>
        </w:rPr>
      </w:pPr>
      <w:r>
        <w:rPr>
          <w:rFonts w:hint="eastAsia" w:ascii="仿宋" w:hAnsi="仿宋" w:eastAsia="仿宋" w:cs="仿宋_GB2312"/>
          <w:kern w:val="0"/>
          <w:szCs w:val="30"/>
        </w:rPr>
        <w:t>（6）出资人基本情况。内容包含：</w:t>
      </w:r>
    </w:p>
    <w:p>
      <w:pPr>
        <w:tabs>
          <w:tab w:val="left" w:pos="900"/>
          <w:tab w:val="left" w:pos="1080"/>
          <w:tab w:val="left" w:pos="1193"/>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①</w:t>
      </w:r>
      <w:r>
        <w:rPr>
          <w:rFonts w:hint="eastAsia" w:ascii="仿宋" w:hAnsi="仿宋" w:eastAsia="仿宋" w:cs="仿宋_GB2312"/>
          <w:color w:val="000000"/>
          <w:szCs w:val="30"/>
        </w:rPr>
        <w:t>出资人的名称、法定代表人、注册地址、股权结构、实际控制人、核心主业及经营情况、主要财务数据（不限于现金流、财务杠杆率等）、所在行业情况、行业地位及排名等情况</w:t>
      </w:r>
      <w:r>
        <w:rPr>
          <w:rFonts w:hint="eastAsia" w:ascii="仿宋" w:hAnsi="仿宋" w:eastAsia="仿宋" w:cs="仿宋_GB2312"/>
          <w:szCs w:val="30"/>
        </w:rPr>
        <w:t>；</w:t>
      </w:r>
    </w:p>
    <w:p>
      <w:pPr>
        <w:tabs>
          <w:tab w:val="left" w:pos="900"/>
          <w:tab w:val="left" w:pos="1080"/>
          <w:tab w:val="left" w:pos="1193"/>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②营业执照复印件；</w:t>
      </w:r>
    </w:p>
    <w:p>
      <w:pPr>
        <w:tabs>
          <w:tab w:val="left" w:pos="900"/>
          <w:tab w:val="left" w:pos="1080"/>
          <w:tab w:val="left" w:pos="1193"/>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③公司章程；</w:t>
      </w:r>
    </w:p>
    <w:p>
      <w:pPr>
        <w:tabs>
          <w:tab w:val="left" w:pos="900"/>
          <w:tab w:val="left" w:pos="1080"/>
          <w:tab w:val="left" w:pos="1193"/>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szCs w:val="30"/>
        </w:rPr>
        <w:t>④</w:t>
      </w:r>
      <w:r>
        <w:rPr>
          <w:rFonts w:hint="eastAsia" w:ascii="仿宋" w:hAnsi="仿宋" w:eastAsia="仿宋" w:cs="仿宋_GB2312"/>
          <w:color w:val="000000"/>
          <w:szCs w:val="30"/>
        </w:rPr>
        <w:t>税务机关出具的纳税情况证明（如信用等级证明或完税证明）。</w:t>
      </w:r>
    </w:p>
    <w:p>
      <w:pPr>
        <w:tabs>
          <w:tab w:val="left" w:pos="1080"/>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境内拟出资人的营业执照复印件应注明与原件一致，并加盖本企业公章，境外拟出资人的营业执照或注册文件复印件应经其所在国家或地区认可的机构公证或经中华人民共和国驻该国使、领馆认证。</w:t>
      </w:r>
    </w:p>
    <w:p>
      <w:pPr>
        <w:tabs>
          <w:tab w:val="left" w:pos="812"/>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（7）出资人关联方情况。内容包含：</w:t>
      </w:r>
    </w:p>
    <w:p>
      <w:pPr>
        <w:tabs>
          <w:tab w:val="left" w:pos="105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①出资人及所在集团的组织结构图；</w:t>
      </w:r>
    </w:p>
    <w:p>
      <w:pPr>
        <w:tabs>
          <w:tab w:val="left" w:pos="105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②出资人的主要股东名册及其从事的主要业务介绍；</w:t>
      </w:r>
    </w:p>
    <w:p>
      <w:pPr>
        <w:tabs>
          <w:tab w:val="left" w:pos="105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③出资人持股比例达到20％，或者持股比例未达到20％但处于最大股东地位的公司名册及其从事的主要业务介绍；</w:t>
      </w:r>
    </w:p>
    <w:p>
      <w:pPr>
        <w:tabs>
          <w:tab w:val="left" w:pos="105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④出资人之间的关联状况；</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⑤出资人及其关联方入股其他信托公司的情况；</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szCs w:val="30"/>
        </w:rPr>
        <w:t>⑥对出资人有实际影响力的其他个人和机构的有关情况。</w:t>
      </w:r>
    </w:p>
    <w:p>
      <w:pPr>
        <w:tabs>
          <w:tab w:val="left" w:pos="105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color w:val="000000"/>
          <w:szCs w:val="30"/>
        </w:rPr>
        <w:t>（8）出资</w:t>
      </w:r>
      <w:r>
        <w:rPr>
          <w:rFonts w:hint="eastAsia" w:ascii="仿宋" w:hAnsi="仿宋" w:eastAsia="仿宋" w:cs="仿宋_GB2312"/>
          <w:kern w:val="0"/>
          <w:szCs w:val="30"/>
        </w:rPr>
        <w:t>人的资信情况或接受监管的情况。包括：</w:t>
      </w:r>
    </w:p>
    <w:p>
      <w:pPr>
        <w:tabs>
          <w:tab w:val="left" w:pos="105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kern w:val="0"/>
          <w:szCs w:val="30"/>
        </w:rPr>
        <w:t>①出资人为境内非金融机构的，应提供</w:t>
      </w:r>
      <w:r>
        <w:rPr>
          <w:rFonts w:hint="eastAsia" w:ascii="仿宋" w:hAnsi="仿宋" w:eastAsia="仿宋" w:cs="仿宋_GB2312"/>
          <w:color w:val="000000"/>
          <w:szCs w:val="30"/>
        </w:rPr>
        <w:t>近2年无不良信贷记录的证明（如贷款银行出具的资信证明或中国人民银行征信中心出具的企业信用报告）；</w:t>
      </w:r>
    </w:p>
    <w:p>
      <w:pPr>
        <w:tabs>
          <w:tab w:val="left" w:pos="900"/>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②出资人为境内金融机构的，应提供相关监管部门对其最近2年的守法合规情况以及投资设立信托公司的意见函；</w:t>
      </w:r>
    </w:p>
    <w:p>
      <w:pPr>
        <w:tabs>
          <w:tab w:val="left" w:pos="105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③出资人为境外金融机构的，应提供本机构反洗钱制度、注册地金融监管当局关于反洗钱的法规要求、注册地金融监管当局出具的该金融机构在注册地守法合规情况以及是否同意其在中国设立信托公司的书面意见、</w:t>
      </w:r>
      <w:r>
        <w:rPr>
          <w:rFonts w:hint="eastAsia" w:ascii="仿宋" w:hAnsi="仿宋" w:eastAsia="仿宋" w:cs="仿宋_GB2312"/>
          <w:color w:val="000000"/>
          <w:kern w:val="0"/>
          <w:szCs w:val="30"/>
        </w:rPr>
        <w:t>银监会认可的国际评级机构</w:t>
      </w:r>
      <w:r>
        <w:rPr>
          <w:rFonts w:hint="eastAsia" w:ascii="仿宋" w:hAnsi="仿宋" w:eastAsia="仿宋" w:cs="仿宋_GB2312"/>
          <w:color w:val="000000"/>
          <w:szCs w:val="30"/>
        </w:rPr>
        <w:t>对其最近2年的信用评级报告。</w:t>
      </w:r>
    </w:p>
    <w:p>
      <w:pPr>
        <w:tabs>
          <w:tab w:val="left" w:pos="900"/>
          <w:tab w:val="left" w:pos="1080"/>
          <w:tab w:val="left" w:pos="1193"/>
        </w:tabs>
        <w:adjustRightInd w:val="0"/>
        <w:snapToGrid w:val="0"/>
        <w:spacing w:line="312" w:lineRule="auto"/>
        <w:ind w:left="359" w:leftChars="171" w:firstLine="420" w:firstLineChars="200"/>
        <w:rPr>
          <w:rFonts w:hint="eastAsia" w:ascii="仿宋" w:hAnsi="仿宋" w:eastAsia="仿宋" w:cs="仿宋_GB2312"/>
          <w:kern w:val="0"/>
          <w:szCs w:val="30"/>
        </w:rPr>
      </w:pPr>
      <w:r>
        <w:rPr>
          <w:rFonts w:hint="eastAsia" w:ascii="仿宋" w:hAnsi="仿宋" w:eastAsia="仿宋" w:cs="仿宋_GB2312"/>
          <w:kern w:val="0"/>
          <w:szCs w:val="30"/>
        </w:rPr>
        <w:t>（9）出资人最近2个会计年度的审计报告。</w:t>
      </w:r>
    </w:p>
    <w:p>
      <w:pPr>
        <w:tabs>
          <w:tab w:val="left" w:pos="1080"/>
          <w:tab w:val="left" w:pos="1193"/>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kern w:val="0"/>
          <w:szCs w:val="30"/>
        </w:rPr>
        <w:t>（10）</w:t>
      </w:r>
      <w:r>
        <w:rPr>
          <w:rFonts w:hint="eastAsia" w:ascii="仿宋" w:hAnsi="仿宋" w:eastAsia="仿宋" w:cs="仿宋_GB2312"/>
          <w:color w:val="000000"/>
          <w:kern w:val="0"/>
          <w:szCs w:val="30"/>
        </w:rPr>
        <w:t>出资人法定代表人签署的有关声明和承诺：</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①5年内不转让所持信托公司股权（银监会依法责令转让的除外）的承诺；</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②不将所持有的信托公司股权进行质押或设立信托的承诺；</w:t>
      </w:r>
    </w:p>
    <w:p>
      <w:pPr>
        <w:tabs>
          <w:tab w:val="left" w:pos="900"/>
          <w:tab w:val="left" w:pos="1080"/>
          <w:tab w:val="left" w:pos="1193"/>
        </w:tabs>
        <w:adjustRightInd w:val="0"/>
        <w:snapToGrid w:val="0"/>
        <w:spacing w:line="312" w:lineRule="auto"/>
        <w:ind w:left="360" w:firstLine="420" w:firstLineChars="200"/>
        <w:rPr>
          <w:rFonts w:hint="eastAsia" w:ascii="仿宋" w:hAnsi="仿宋" w:eastAsia="仿宋" w:cs="仿宋_GB2312"/>
          <w:kern w:val="0"/>
          <w:szCs w:val="30"/>
        </w:rPr>
      </w:pPr>
      <w:r>
        <w:rPr>
          <w:rFonts w:hint="eastAsia" w:ascii="仿宋" w:hAnsi="仿宋" w:eastAsia="仿宋" w:cs="仿宋_GB2312"/>
          <w:kern w:val="0"/>
          <w:szCs w:val="30"/>
        </w:rPr>
        <w:t>③履行信托公司恢复与处置计划义务的承诺；</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④用于出资的资金为自有资金、非他人委托资金或债务资金等非自有资金的声明；</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⑤最近2年内无重大违法违规行为的声明；</w:t>
      </w:r>
    </w:p>
    <w:p>
      <w:pPr>
        <w:tabs>
          <w:tab w:val="left" w:pos="1050"/>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⑥与设立后的信托公司不发生违规关联交易的声明；</w:t>
      </w:r>
    </w:p>
    <w:p>
      <w:pPr>
        <w:tabs>
          <w:tab w:val="left" w:pos="900"/>
          <w:tab w:val="left" w:pos="1080"/>
          <w:tab w:val="left" w:pos="1193"/>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⑦未代他人持有信托公司股权的声明；</w:t>
      </w:r>
    </w:p>
    <w:p>
      <w:pPr>
        <w:tabs>
          <w:tab w:val="left" w:pos="105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⑧确认所提供</w:t>
      </w:r>
      <w:r>
        <w:rPr>
          <w:rFonts w:hint="eastAsia" w:ascii="仿宋" w:hAnsi="仿宋" w:eastAsia="仿宋" w:cs="仿宋_GB2312"/>
          <w:szCs w:val="30"/>
        </w:rPr>
        <w:t>申请材料内容和相关数据真实、复印件均与原件一致</w:t>
      </w:r>
      <w:r>
        <w:rPr>
          <w:rFonts w:hint="eastAsia" w:ascii="仿宋" w:hAnsi="仿宋" w:eastAsia="仿宋" w:cs="仿宋_GB2312"/>
          <w:kern w:val="0"/>
          <w:szCs w:val="30"/>
        </w:rPr>
        <w:t>的声明。</w:t>
      </w:r>
    </w:p>
    <w:p>
      <w:pPr>
        <w:tabs>
          <w:tab w:val="left" w:pos="1080"/>
          <w:tab w:val="left" w:pos="126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（11）信托公司最近1个会计年度的审计报告。</w:t>
      </w:r>
    </w:p>
    <w:p>
      <w:pPr>
        <w:tabs>
          <w:tab w:val="left" w:pos="108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（12）律师事务所出具的申请人在出资人的主体资格、申请程序、材料等方面合法合规性及完整性的法律意见书。</w:t>
      </w:r>
    </w:p>
    <w:p>
      <w:pPr>
        <w:tabs>
          <w:tab w:val="left" w:pos="108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（13）银监会按照审慎性原则规定的其他文件。</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信托公司变更股权及调整股权结构完成情况报告材料目录：</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完成股权变更后续有关程序的报告，包含工商注册变更等程序的完成情况。</w:t>
      </w:r>
    </w:p>
    <w:p>
      <w:pPr>
        <w:pStyle w:val="5"/>
        <w:spacing w:before="0" w:beforeAutospacing="0" w:after="0" w:afterAutospacing="0" w:line="312" w:lineRule="auto"/>
        <w:rPr>
          <w:rFonts w:hint="eastAsia" w:ascii="仿宋" w:hAnsi="仿宋" w:eastAsia="仿宋" w:cs="仿宋_GB2312"/>
          <w:sz w:val="21"/>
          <w:szCs w:val="30"/>
        </w:rPr>
      </w:pPr>
      <w:bookmarkStart w:id="1195" w:name="_Toc5790"/>
      <w:bookmarkStart w:id="1196" w:name="_Toc31163"/>
      <w:bookmarkStart w:id="1197" w:name="_Toc1214"/>
      <w:bookmarkStart w:id="1198" w:name="_Toc27817"/>
      <w:bookmarkStart w:id="1199" w:name="_Toc4483"/>
      <w:bookmarkStart w:id="1200" w:name="_Toc10576"/>
      <w:bookmarkStart w:id="1201" w:name="_Toc13002"/>
      <w:bookmarkStart w:id="1202" w:name="_Toc14801"/>
      <w:bookmarkStart w:id="1203" w:name="_Toc421891319"/>
      <w:bookmarkStart w:id="1204" w:name="_Toc8101"/>
      <w:bookmarkStart w:id="1205" w:name="_Toc15776"/>
      <w:bookmarkStart w:id="1206" w:name="_Toc4198"/>
      <w:bookmarkStart w:id="1207" w:name="_Toc630"/>
      <w:bookmarkStart w:id="1208" w:name="_Toc14665"/>
      <w:r>
        <w:rPr>
          <w:rFonts w:hint="eastAsia" w:ascii="仿宋" w:hAnsi="仿宋" w:eastAsia="仿宋" w:cs="仿宋_GB2312"/>
          <w:sz w:val="21"/>
          <w:szCs w:val="30"/>
        </w:rPr>
        <w:t>（三）变更注册资本</w:t>
      </w:r>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p>
    <w:p>
      <w:pPr>
        <w:adjustRightInd w:val="0"/>
        <w:snapToGrid w:val="0"/>
        <w:spacing w:line="312" w:lineRule="auto"/>
        <w:ind w:firstLine="422" w:firstLineChars="200"/>
        <w:outlineLvl w:val="4"/>
        <w:rPr>
          <w:rFonts w:hint="eastAsia" w:ascii="仿宋" w:hAnsi="仿宋" w:eastAsia="仿宋" w:cs="仿宋_GB2312"/>
          <w:b/>
          <w:color w:val="000000"/>
          <w:szCs w:val="30"/>
        </w:rPr>
      </w:pPr>
      <w:r>
        <w:rPr>
          <w:rFonts w:hint="eastAsia" w:ascii="仿宋" w:hAnsi="仿宋" w:eastAsia="仿宋" w:cs="仿宋_GB2312"/>
          <w:b/>
          <w:color w:val="000000"/>
          <w:szCs w:val="30"/>
        </w:rPr>
        <w:t>2.3信托公司通过配股或募集新股份方式变更注册资本的方案审批</w:t>
      </w:r>
    </w:p>
    <w:p>
      <w:pPr>
        <w:adjustRightInd w:val="0"/>
        <w:snapToGrid w:val="0"/>
        <w:spacing w:line="312" w:lineRule="auto"/>
        <w:ind w:firstLine="422" w:firstLineChars="200"/>
        <w:rPr>
          <w:rFonts w:hint="eastAsia" w:ascii="仿宋" w:hAnsi="仿宋" w:eastAsia="仿宋" w:cs="仿宋_GB2312"/>
          <w:b/>
          <w:bCs/>
          <w:color w:val="000000"/>
          <w:szCs w:val="30"/>
        </w:rPr>
      </w:pPr>
      <w:r>
        <w:rPr>
          <w:rFonts w:hint="eastAsia" w:ascii="仿宋" w:hAnsi="仿宋" w:eastAsia="仿宋" w:cs="仿宋_GB2312"/>
          <w:b/>
          <w:bCs/>
          <w:color w:val="000000"/>
          <w:szCs w:val="30"/>
        </w:rPr>
        <w:t>申请材料目录：</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（1）申请书。内容应包含申请人基本情况、现有注册资本金额、变更注册资本的原因或配股、募集新股份的必要性分析、变更金额及变更后注册资本金额、现有股本结构、配股后股本结构。</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（2）股东（大）会关于变更注册资本的决议。</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（3）信托公司最近1个会计年度的审计报告。</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（4）可行性报告。包含本次配股或募集新股份的背景及必要性分析、融资规模、募集资金用途、本次配股或募集新股份市场环境分析、可行性分析。</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（5）配股或募集新股份方案。</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（6）涉及新入股股东的，应同时提供新入股股东符合信托公司出资人条件的说明文件。</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（7）未来3-5年内资本规划。</w:t>
      </w:r>
    </w:p>
    <w:p>
      <w:pPr>
        <w:adjustRightInd w:val="0"/>
        <w:snapToGrid w:val="0"/>
        <w:spacing w:line="312" w:lineRule="auto"/>
        <w:ind w:firstLine="422" w:firstLineChars="200"/>
        <w:outlineLvl w:val="4"/>
        <w:rPr>
          <w:rFonts w:hint="eastAsia" w:ascii="仿宋" w:hAnsi="仿宋" w:eastAsia="仿宋" w:cs="仿宋_GB2312"/>
          <w:b/>
          <w:color w:val="000000"/>
          <w:szCs w:val="30"/>
        </w:rPr>
      </w:pPr>
      <w:r>
        <w:rPr>
          <w:rFonts w:hint="eastAsia" w:ascii="仿宋" w:hAnsi="仿宋" w:eastAsia="仿宋" w:cs="仿宋_GB2312"/>
          <w:b/>
          <w:color w:val="000000"/>
          <w:szCs w:val="30"/>
        </w:rPr>
        <w:t>2.4信托公司变更注册资本审批</w:t>
      </w:r>
    </w:p>
    <w:p>
      <w:pPr>
        <w:adjustRightInd w:val="0"/>
        <w:snapToGrid w:val="0"/>
        <w:spacing w:line="312" w:lineRule="auto"/>
        <w:ind w:firstLine="422" w:firstLineChars="200"/>
        <w:rPr>
          <w:rFonts w:hint="eastAsia" w:ascii="仿宋" w:hAnsi="仿宋" w:eastAsia="仿宋" w:cs="仿宋_GB2312"/>
          <w:b/>
          <w:color w:val="000000"/>
          <w:szCs w:val="30"/>
        </w:rPr>
      </w:pPr>
      <w:r>
        <w:rPr>
          <w:rFonts w:hint="eastAsia" w:ascii="仿宋" w:hAnsi="仿宋" w:eastAsia="仿宋" w:cs="仿宋_GB2312"/>
          <w:b/>
          <w:color w:val="000000"/>
          <w:szCs w:val="30"/>
        </w:rPr>
        <w:t>申请材料目录：</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（1）申请书。内容应包含申请人基本情况、变更注册资本的原因、现有注册资本金额、变更金额及变更后注册资本金额。</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（2）股东（大）会关于变更注册资本的决议。</w:t>
      </w:r>
    </w:p>
    <w:p>
      <w:pPr>
        <w:tabs>
          <w:tab w:val="left" w:pos="1080"/>
          <w:tab w:val="left" w:pos="1260"/>
        </w:tabs>
        <w:adjustRightInd w:val="0"/>
        <w:snapToGrid w:val="0"/>
        <w:spacing w:line="312" w:lineRule="auto"/>
        <w:ind w:left="360" w:firstLine="420" w:firstLineChars="200"/>
        <w:rPr>
          <w:rFonts w:hint="eastAsia" w:ascii="仿宋" w:hAnsi="仿宋" w:eastAsia="仿宋" w:cs="仿宋_GB2312"/>
          <w:szCs w:val="30"/>
        </w:rPr>
      </w:pPr>
      <w:r>
        <w:rPr>
          <w:rFonts w:hint="eastAsia" w:ascii="仿宋" w:hAnsi="仿宋" w:eastAsia="仿宋" w:cs="仿宋_GB2312"/>
          <w:kern w:val="0"/>
          <w:szCs w:val="30"/>
        </w:rPr>
        <w:t>（3）信托公司最近1个会计年度的审计报告。</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（4）增加注册资本但不调整股权结构的，应提供各股东最近2个会计年度的审计报告。以资本公积、盈余公积、未分配利润转增注册资本的无需提供审计报告。</w:t>
      </w:r>
    </w:p>
    <w:p>
      <w:pPr>
        <w:pStyle w:val="33"/>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（5）出资人法定代表人签署的关于出资人用于出资的资金为自有资金、非他人委托资金或债务资金等非自有资金的声明以及未代他人持有信托公司股权的声明。</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（6）变更注册资本涉及变更股权或调整股权结构的，应同时上报变更股权或调整股权结构的有关申请材料。</w:t>
      </w:r>
    </w:p>
    <w:p>
      <w:pPr>
        <w:adjustRightInd w:val="0"/>
        <w:snapToGrid w:val="0"/>
        <w:spacing w:line="312" w:lineRule="auto"/>
        <w:ind w:firstLine="422" w:firstLineChars="200"/>
        <w:rPr>
          <w:rFonts w:hint="eastAsia" w:ascii="仿宋" w:hAnsi="仿宋" w:eastAsia="仿宋" w:cs="仿宋_GB2312"/>
          <w:b/>
          <w:bCs/>
          <w:szCs w:val="30"/>
        </w:rPr>
      </w:pPr>
      <w:r>
        <w:rPr>
          <w:rFonts w:hint="eastAsia" w:ascii="仿宋" w:hAnsi="仿宋" w:eastAsia="仿宋" w:cs="仿宋_GB2312"/>
          <w:b/>
          <w:bCs/>
          <w:szCs w:val="30"/>
        </w:rPr>
        <w:t>信托公司变更注册资本完成情况报告材料目录：</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（1）完成注册资本变更后续有关程序的报告，包含验资完成情况、工商注册变更等。</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（2）法定验资机构出具的验资报告。</w:t>
      </w:r>
    </w:p>
    <w:p>
      <w:pPr>
        <w:adjustRightInd w:val="0"/>
        <w:snapToGrid w:val="0"/>
        <w:spacing w:line="312" w:lineRule="auto"/>
        <w:ind w:firstLine="420" w:firstLineChars="200"/>
        <w:rPr>
          <w:rFonts w:hint="eastAsia" w:ascii="仿宋" w:hAnsi="仿宋" w:eastAsia="仿宋" w:cs="仿宋_GB2312"/>
          <w:bCs/>
          <w:color w:val="FF0000"/>
          <w:szCs w:val="30"/>
        </w:rPr>
      </w:pPr>
      <w:r>
        <w:rPr>
          <w:rFonts w:hint="eastAsia" w:ascii="仿宋" w:hAnsi="仿宋" w:eastAsia="仿宋" w:cs="仿宋_GB2312"/>
          <w:kern w:val="0"/>
          <w:szCs w:val="30"/>
        </w:rPr>
        <w:t>（3）新营业执照复印件。</w:t>
      </w:r>
    </w:p>
    <w:p>
      <w:pPr>
        <w:pStyle w:val="5"/>
        <w:spacing w:before="0" w:beforeAutospacing="0" w:after="0" w:afterAutospacing="0" w:line="312" w:lineRule="auto"/>
        <w:rPr>
          <w:rFonts w:hint="eastAsia" w:ascii="仿宋" w:hAnsi="仿宋" w:eastAsia="仿宋" w:cs="仿宋_GB2312"/>
          <w:sz w:val="21"/>
          <w:szCs w:val="30"/>
        </w:rPr>
      </w:pPr>
      <w:bookmarkStart w:id="1209" w:name="_Toc27273"/>
      <w:bookmarkStart w:id="1210" w:name="_Toc24625"/>
      <w:bookmarkStart w:id="1211" w:name="_Toc18520"/>
      <w:bookmarkStart w:id="1212" w:name="_Toc21493"/>
      <w:bookmarkStart w:id="1213" w:name="_Toc23476"/>
      <w:bookmarkStart w:id="1214" w:name="_Toc4975"/>
      <w:bookmarkStart w:id="1215" w:name="_Toc3529"/>
      <w:bookmarkStart w:id="1216" w:name="_Toc410"/>
      <w:bookmarkStart w:id="1217" w:name="_Toc1851"/>
      <w:bookmarkStart w:id="1218" w:name="_Toc421891320"/>
      <w:bookmarkStart w:id="1219" w:name="_Toc17788"/>
      <w:bookmarkStart w:id="1220" w:name="_Toc31858"/>
      <w:bookmarkStart w:id="1221" w:name="_Toc9099"/>
      <w:bookmarkStart w:id="1222" w:name="_Toc15548"/>
      <w:r>
        <w:rPr>
          <w:rFonts w:hint="eastAsia" w:ascii="仿宋" w:hAnsi="仿宋" w:eastAsia="仿宋" w:cs="仿宋_GB2312"/>
          <w:sz w:val="21"/>
          <w:szCs w:val="30"/>
        </w:rPr>
        <w:t>（四）公开发行股份</w:t>
      </w:r>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p>
    <w:p>
      <w:pPr>
        <w:adjustRightInd w:val="0"/>
        <w:snapToGrid w:val="0"/>
        <w:spacing w:line="312" w:lineRule="auto"/>
        <w:ind w:firstLine="422" w:firstLineChars="200"/>
        <w:outlineLvl w:val="4"/>
        <w:rPr>
          <w:rFonts w:hint="eastAsia" w:ascii="仿宋" w:hAnsi="仿宋" w:eastAsia="仿宋" w:cs="仿宋_GB2312"/>
          <w:b/>
          <w:color w:val="000000"/>
          <w:szCs w:val="30"/>
        </w:rPr>
      </w:pPr>
      <w:bookmarkStart w:id="1223" w:name="_Toc785"/>
      <w:bookmarkStart w:id="1224" w:name="_Toc21895"/>
      <w:bookmarkStart w:id="1225" w:name="_Toc23765"/>
      <w:bookmarkStart w:id="1226" w:name="_Toc19162"/>
      <w:bookmarkStart w:id="1227" w:name="_Toc31204"/>
      <w:bookmarkStart w:id="1228" w:name="_Toc23129"/>
      <w:bookmarkStart w:id="1229" w:name="_Toc3544"/>
      <w:bookmarkStart w:id="1230" w:name="_Toc22706"/>
      <w:bookmarkStart w:id="1231" w:name="_Toc7901"/>
      <w:bookmarkStart w:id="1232" w:name="_Toc23422"/>
      <w:r>
        <w:rPr>
          <w:rFonts w:hint="eastAsia" w:ascii="仿宋" w:hAnsi="仿宋" w:eastAsia="仿宋" w:cs="仿宋_GB2312"/>
          <w:b/>
          <w:szCs w:val="30"/>
        </w:rPr>
        <w:t>2.5信托公司公开募集股份和上市交易股份的方案审批</w:t>
      </w:r>
      <w:bookmarkEnd w:id="1223"/>
      <w:bookmarkEnd w:id="1224"/>
      <w:bookmarkEnd w:id="1225"/>
      <w:bookmarkEnd w:id="1226"/>
      <w:bookmarkEnd w:id="1227"/>
      <w:bookmarkEnd w:id="1228"/>
      <w:bookmarkEnd w:id="1229"/>
      <w:bookmarkEnd w:id="1230"/>
      <w:bookmarkEnd w:id="1231"/>
      <w:bookmarkEnd w:id="1232"/>
    </w:p>
    <w:p>
      <w:pPr>
        <w:adjustRightInd w:val="0"/>
        <w:snapToGrid w:val="0"/>
        <w:spacing w:line="312" w:lineRule="auto"/>
        <w:ind w:firstLine="422" w:firstLineChars="200"/>
        <w:rPr>
          <w:rFonts w:hint="eastAsia" w:ascii="仿宋" w:hAnsi="仿宋" w:eastAsia="仿宋" w:cs="仿宋_GB2312"/>
          <w:b/>
          <w:color w:val="000000"/>
          <w:szCs w:val="30"/>
        </w:rPr>
      </w:pPr>
      <w:r>
        <w:rPr>
          <w:rFonts w:hint="eastAsia" w:ascii="仿宋" w:hAnsi="仿宋" w:eastAsia="仿宋" w:cs="仿宋_GB2312"/>
          <w:b/>
          <w:bCs/>
          <w:color w:val="000000"/>
          <w:szCs w:val="30"/>
        </w:rPr>
        <w:t>申请材料目录：</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（1）申请书。内容至少包含：申请事项、公司概况、主营业务及其他业务经营情况（截至申请日前）、公开发行及上市或募集新股份的原因、金额等。</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2）可行性研究报告。内容至少包含：公司历史沿革、主营业务、财务数据与监管指标达标情况、主要股东变更情况（如有）、必要性分析、可行性分析（授权与批准情况及发行并上市条件合规情况）、发行并上市后风险分析及应对措施、募集资本后业务发展规划以及公司净资产、财务状况及各项风险控制指标预测。</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（3）发行方案。</w:t>
      </w:r>
    </w:p>
    <w:p>
      <w:pPr>
        <w:pStyle w:val="33"/>
        <w:tabs>
          <w:tab w:val="left" w:pos="42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（4）股东（大）会决议文件。</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（5）律师事务所出具的申请人在申请程序、材料等方面的合法性及完整性法律意见书。</w:t>
      </w:r>
    </w:p>
    <w:p>
      <w:pPr>
        <w:pStyle w:val="33"/>
        <w:tabs>
          <w:tab w:val="left" w:pos="-20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（6）最近3个会计年度的审计报告。</w:t>
      </w:r>
    </w:p>
    <w:p>
      <w:pPr>
        <w:pStyle w:val="5"/>
        <w:spacing w:before="0" w:beforeAutospacing="0" w:after="0" w:afterAutospacing="0" w:line="312" w:lineRule="auto"/>
        <w:rPr>
          <w:rFonts w:hint="eastAsia" w:ascii="仿宋" w:hAnsi="仿宋" w:eastAsia="仿宋" w:cs="仿宋_GB2312"/>
          <w:sz w:val="21"/>
          <w:szCs w:val="30"/>
        </w:rPr>
      </w:pPr>
      <w:bookmarkStart w:id="1233" w:name="_Toc30333"/>
      <w:bookmarkStart w:id="1234" w:name="_Toc11262"/>
      <w:bookmarkStart w:id="1235" w:name="_Toc13553"/>
      <w:bookmarkStart w:id="1236" w:name="_Toc15725"/>
      <w:bookmarkStart w:id="1237" w:name="_Toc18790"/>
      <w:bookmarkStart w:id="1238" w:name="_Toc20241"/>
      <w:bookmarkStart w:id="1239" w:name="_Toc421891321"/>
      <w:bookmarkStart w:id="1240" w:name="_Toc28558"/>
      <w:bookmarkStart w:id="1241" w:name="_Toc12383"/>
      <w:bookmarkStart w:id="1242" w:name="_Toc11454"/>
      <w:bookmarkStart w:id="1243" w:name="_Toc9784"/>
      <w:bookmarkStart w:id="1244" w:name="_Toc30076"/>
      <w:bookmarkStart w:id="1245" w:name="_Toc22240"/>
      <w:bookmarkStart w:id="1246" w:name="_Toc624"/>
      <w:r>
        <w:rPr>
          <w:rFonts w:hint="eastAsia" w:ascii="仿宋" w:hAnsi="仿宋" w:eastAsia="仿宋" w:cs="仿宋_GB2312"/>
          <w:sz w:val="21"/>
          <w:szCs w:val="30"/>
        </w:rPr>
        <w:t>（五）变更住所或营业场所（包含同城迁址和异地迁址）</w:t>
      </w:r>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p>
    <w:p>
      <w:pPr>
        <w:adjustRightInd w:val="0"/>
        <w:snapToGrid w:val="0"/>
        <w:spacing w:line="312" w:lineRule="auto"/>
        <w:ind w:firstLine="422" w:firstLineChars="200"/>
        <w:outlineLvl w:val="4"/>
        <w:rPr>
          <w:rFonts w:hint="eastAsia" w:ascii="仿宋" w:hAnsi="仿宋" w:eastAsia="仿宋" w:cs="仿宋_GB2312"/>
          <w:b/>
          <w:bCs/>
          <w:color w:val="FF0000"/>
          <w:kern w:val="0"/>
          <w:szCs w:val="30"/>
        </w:rPr>
      </w:pPr>
      <w:r>
        <w:rPr>
          <w:rFonts w:hint="eastAsia" w:ascii="仿宋" w:hAnsi="仿宋" w:eastAsia="仿宋" w:cs="仿宋_GB2312"/>
          <w:b/>
          <w:szCs w:val="30"/>
        </w:rPr>
        <w:t>2.6信托公司同城迁址审批</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tabs>
          <w:tab w:val="left" w:pos="72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（1）申请书。内容包含申请人基本情况、变更住所或营业场所的原因及新住所的地址、邮政编码。</w:t>
      </w:r>
    </w:p>
    <w:p>
      <w:pPr>
        <w:tabs>
          <w:tab w:val="left" w:pos="720"/>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（2）股东（大）会或董事会同意变更住所或营业场所的决议。</w:t>
      </w:r>
    </w:p>
    <w:p>
      <w:pPr>
        <w:tabs>
          <w:tab w:val="left" w:pos="72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（3）新</w:t>
      </w:r>
      <w:r>
        <w:rPr>
          <w:rFonts w:hint="eastAsia" w:ascii="仿宋" w:hAnsi="仿宋" w:eastAsia="仿宋" w:cs="仿宋_GB2312"/>
          <w:szCs w:val="30"/>
        </w:rPr>
        <w:t>住所或</w:t>
      </w:r>
      <w:r>
        <w:rPr>
          <w:rFonts w:hint="eastAsia" w:ascii="仿宋" w:hAnsi="仿宋" w:eastAsia="仿宋" w:cs="仿宋_GB2312"/>
          <w:kern w:val="0"/>
          <w:szCs w:val="30"/>
        </w:rPr>
        <w:t>营业场所的所有权或使用权证明文件复印件。</w:t>
      </w:r>
    </w:p>
    <w:p>
      <w:pPr>
        <w:tabs>
          <w:tab w:val="left" w:pos="72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4）公安、消防部门出具的新住所或营业场所安全设施符合有关规定的证明。拟迁入的新营业场所的工程竣工验收报告复印件以及公安消防部门出具的消防设计备案凭证、竣工验收消防备案凭证复印件。被公安消防部门确定为抽查对象的，还应提供抽查验收合格证明复印件。</w:t>
      </w:r>
      <w:bookmarkStart w:id="1247" w:name="_Hlt83696707"/>
      <w:bookmarkEnd w:id="1247"/>
    </w:p>
    <w:p>
      <w:pPr>
        <w:adjustRightInd w:val="0"/>
        <w:snapToGrid w:val="0"/>
        <w:spacing w:line="312" w:lineRule="auto"/>
        <w:ind w:firstLine="422" w:firstLineChars="200"/>
        <w:outlineLvl w:val="4"/>
        <w:rPr>
          <w:rFonts w:hint="eastAsia" w:ascii="仿宋" w:hAnsi="仿宋" w:eastAsia="仿宋" w:cs="仿宋_GB2312"/>
          <w:b/>
          <w:szCs w:val="30"/>
        </w:rPr>
      </w:pPr>
      <w:r>
        <w:rPr>
          <w:rFonts w:hint="eastAsia" w:ascii="仿宋" w:hAnsi="仿宋" w:eastAsia="仿宋" w:cs="仿宋_GB2312"/>
          <w:b/>
          <w:szCs w:val="30"/>
        </w:rPr>
        <w:t>2.7信托公司异地迁址筹建审批</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（1）申请书。内容包括申请人基本情况、异地迁址的原因、向拟迁入地和拟迁出地政府报告的情况以及两地政府的意见。</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szCs w:val="30"/>
        </w:rPr>
        <w:t>（2）股东会同意异地迁址的决议。</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（3）原经营所在地遗留人员、业务及风险的处置方案。</w:t>
      </w:r>
    </w:p>
    <w:p>
      <w:pPr>
        <w:tabs>
          <w:tab w:val="left" w:pos="720"/>
          <w:tab w:val="left" w:pos="1193"/>
        </w:tabs>
        <w:adjustRightInd w:val="0"/>
        <w:snapToGrid w:val="0"/>
        <w:spacing w:line="312" w:lineRule="auto"/>
        <w:ind w:firstLine="422" w:firstLineChars="200"/>
        <w:outlineLvl w:val="4"/>
        <w:rPr>
          <w:rFonts w:hint="eastAsia" w:ascii="仿宋" w:hAnsi="仿宋" w:eastAsia="仿宋" w:cs="仿宋_GB2312"/>
          <w:b/>
          <w:bCs/>
          <w:color w:val="FF0000"/>
          <w:kern w:val="0"/>
          <w:szCs w:val="30"/>
        </w:rPr>
      </w:pPr>
      <w:r>
        <w:rPr>
          <w:rFonts w:hint="eastAsia" w:ascii="仿宋" w:hAnsi="仿宋" w:eastAsia="仿宋" w:cs="仿宋_GB2312"/>
          <w:b/>
          <w:kern w:val="0"/>
          <w:szCs w:val="30"/>
        </w:rPr>
        <w:t>2.8</w:t>
      </w:r>
      <w:r>
        <w:rPr>
          <w:rFonts w:hint="eastAsia" w:ascii="仿宋" w:hAnsi="仿宋" w:eastAsia="仿宋" w:cs="仿宋_GB2312"/>
          <w:b/>
          <w:szCs w:val="30"/>
        </w:rPr>
        <w:t>信托公司</w:t>
      </w:r>
      <w:r>
        <w:rPr>
          <w:rFonts w:hint="eastAsia" w:ascii="仿宋" w:hAnsi="仿宋" w:eastAsia="仿宋" w:cs="仿宋_GB2312"/>
          <w:b/>
          <w:kern w:val="0"/>
          <w:szCs w:val="30"/>
        </w:rPr>
        <w:t>异地迁址开业审批</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（1）申请书。内容包括异地迁址工作完成情况，迁入住所的地址、邮政编码。</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（2）拟迁入的新营业场所的所有权或使用权证明文件复印件（产权证明或租赁合同复印件）。</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（3）拟迁入的新</w:t>
      </w:r>
      <w:r>
        <w:rPr>
          <w:rFonts w:hint="eastAsia" w:ascii="仿宋" w:hAnsi="仿宋" w:eastAsia="仿宋" w:cs="仿宋_GB2312"/>
          <w:szCs w:val="30"/>
        </w:rPr>
        <w:t>营业场所的工程竣工验收报告复印件以及</w:t>
      </w:r>
      <w:r>
        <w:rPr>
          <w:rFonts w:hint="eastAsia" w:ascii="仿宋" w:hAnsi="仿宋" w:eastAsia="仿宋" w:cs="仿宋_GB2312"/>
          <w:kern w:val="0"/>
          <w:szCs w:val="30"/>
        </w:rPr>
        <w:t>公安消防部门出具的消防设计备案凭证、竣工验收消防备案凭证复印件。被公安消防部门确定为抽查对象的，还应提供抽查验收合格证明复印件。</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（4）银监会按照审慎性原则规定的其他文件。</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信托公司变更住所或营业场所完成情况报告材料目录：</w:t>
      </w:r>
    </w:p>
    <w:p>
      <w:pPr>
        <w:tabs>
          <w:tab w:val="left" w:pos="72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（1）完成迁址有关程序的报告，包含更换金融许可证、工商登记变更完成情况等。</w:t>
      </w:r>
    </w:p>
    <w:p>
      <w:pPr>
        <w:tabs>
          <w:tab w:val="left" w:pos="72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（2）新营业执照复印件。</w:t>
      </w:r>
    </w:p>
    <w:p>
      <w:pPr>
        <w:pStyle w:val="5"/>
        <w:spacing w:before="0" w:beforeAutospacing="0" w:after="0" w:afterAutospacing="0" w:line="312" w:lineRule="auto"/>
        <w:rPr>
          <w:rFonts w:hint="eastAsia" w:ascii="仿宋" w:hAnsi="仿宋" w:eastAsia="仿宋" w:cs="仿宋_GB2312"/>
          <w:sz w:val="21"/>
          <w:szCs w:val="30"/>
        </w:rPr>
      </w:pPr>
      <w:bookmarkStart w:id="1248" w:name="_Toc10487"/>
      <w:bookmarkStart w:id="1249" w:name="_Toc421891322"/>
      <w:bookmarkStart w:id="1250" w:name="_Toc9019"/>
      <w:bookmarkStart w:id="1251" w:name="_Toc4261"/>
      <w:bookmarkStart w:id="1252" w:name="_Toc23829"/>
      <w:bookmarkStart w:id="1253" w:name="_Toc1114"/>
      <w:bookmarkStart w:id="1254" w:name="_Toc11689"/>
      <w:bookmarkStart w:id="1255" w:name="_Toc8913"/>
      <w:bookmarkStart w:id="1256" w:name="_Toc24171"/>
      <w:bookmarkStart w:id="1257" w:name="_Toc25247"/>
      <w:bookmarkStart w:id="1258" w:name="_Toc16559"/>
      <w:bookmarkStart w:id="1259" w:name="_Toc27796"/>
      <w:bookmarkStart w:id="1260" w:name="_Toc29425"/>
      <w:bookmarkStart w:id="1261" w:name="_Toc181087993"/>
      <w:bookmarkStart w:id="1262" w:name="_Toc18147"/>
      <w:r>
        <w:rPr>
          <w:rFonts w:hint="eastAsia" w:ascii="仿宋" w:hAnsi="仿宋" w:eastAsia="仿宋" w:cs="仿宋_GB2312"/>
          <w:sz w:val="21"/>
          <w:szCs w:val="30"/>
        </w:rPr>
        <w:t>（六）修改公司章程</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p>
    <w:p>
      <w:pPr>
        <w:adjustRightInd w:val="0"/>
        <w:snapToGrid w:val="0"/>
        <w:spacing w:line="312" w:lineRule="auto"/>
        <w:ind w:firstLine="422" w:firstLineChars="200"/>
        <w:outlineLvl w:val="4"/>
        <w:rPr>
          <w:rFonts w:hint="eastAsia" w:ascii="仿宋" w:hAnsi="仿宋" w:eastAsia="仿宋" w:cs="仿宋_GB2312"/>
          <w:b/>
          <w:szCs w:val="30"/>
        </w:rPr>
      </w:pPr>
      <w:bookmarkStart w:id="1263" w:name="_Toc77782671"/>
      <w:bookmarkStart w:id="1264" w:name="_Toc81194010"/>
      <w:r>
        <w:rPr>
          <w:rFonts w:hint="eastAsia" w:ascii="仿宋" w:hAnsi="仿宋" w:eastAsia="仿宋" w:cs="仿宋_GB2312"/>
          <w:b/>
          <w:bCs/>
          <w:szCs w:val="30"/>
        </w:rPr>
        <w:t>2.9</w:t>
      </w:r>
      <w:bookmarkEnd w:id="1263"/>
      <w:bookmarkEnd w:id="1264"/>
      <w:r>
        <w:rPr>
          <w:rFonts w:hint="eastAsia" w:ascii="仿宋" w:hAnsi="仿宋" w:eastAsia="仿宋" w:cs="仿宋_GB2312"/>
          <w:b/>
          <w:szCs w:val="30"/>
        </w:rPr>
        <w:t>信托公司修改公司章程审批</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tabs>
          <w:tab w:val="left" w:pos="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（1）申请书。申请书的内容包含申请人基本情况、修改章程的理由和修改的具体内容。</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（2）股东（大）会关于修改公司章程的决议。</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（3）原章程。</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（4）修改后的章程文本。</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（5）原章程与修改后章程的变动对照表。</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（6）银监会按照审慎性原则规定的其他文件。</w:t>
      </w:r>
    </w:p>
    <w:p>
      <w:pPr>
        <w:pStyle w:val="5"/>
        <w:spacing w:before="0" w:beforeAutospacing="0" w:after="0" w:afterAutospacing="0" w:line="312" w:lineRule="auto"/>
        <w:rPr>
          <w:rFonts w:hint="eastAsia" w:ascii="仿宋" w:hAnsi="仿宋" w:eastAsia="仿宋" w:cs="仿宋_GB2312"/>
          <w:sz w:val="21"/>
          <w:szCs w:val="30"/>
        </w:rPr>
      </w:pPr>
      <w:bookmarkStart w:id="1265" w:name="_Toc21045"/>
      <w:bookmarkStart w:id="1266" w:name="_Toc81194014"/>
      <w:bookmarkStart w:id="1267" w:name="_Toc77782675"/>
      <w:bookmarkStart w:id="1268" w:name="_Toc27752"/>
      <w:bookmarkStart w:id="1269" w:name="_Toc26752"/>
      <w:bookmarkStart w:id="1270" w:name="_Toc1170"/>
      <w:bookmarkStart w:id="1271" w:name="_Toc28532"/>
      <w:bookmarkStart w:id="1272" w:name="_Toc21990"/>
      <w:bookmarkStart w:id="1273" w:name="_Toc12075"/>
      <w:bookmarkStart w:id="1274" w:name="_Toc27928"/>
      <w:bookmarkStart w:id="1275" w:name="_Toc18576"/>
      <w:bookmarkStart w:id="1276" w:name="_Toc13739"/>
      <w:bookmarkStart w:id="1277" w:name="_Toc5055"/>
      <w:bookmarkStart w:id="1278" w:name="_Toc421891323"/>
      <w:bookmarkStart w:id="1279" w:name="_Toc26154"/>
      <w:bookmarkStart w:id="1280" w:name="_Toc181087994"/>
      <w:bookmarkStart w:id="1281" w:name="_Toc15276"/>
      <w:r>
        <w:rPr>
          <w:rFonts w:hint="eastAsia" w:ascii="仿宋" w:hAnsi="仿宋" w:eastAsia="仿宋" w:cs="仿宋_GB2312"/>
          <w:sz w:val="21"/>
          <w:szCs w:val="30"/>
        </w:rPr>
        <w:t>（七）合并或分立</w:t>
      </w:r>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Start w:id="1282" w:name="_Hlt83696990"/>
      <w:bookmarkEnd w:id="1282"/>
    </w:p>
    <w:p>
      <w:pPr>
        <w:adjustRightInd w:val="0"/>
        <w:snapToGrid w:val="0"/>
        <w:spacing w:line="312" w:lineRule="auto"/>
        <w:ind w:firstLine="422" w:firstLineChars="200"/>
        <w:outlineLvl w:val="4"/>
        <w:rPr>
          <w:rFonts w:hint="eastAsia" w:ascii="仿宋" w:hAnsi="仿宋" w:eastAsia="仿宋" w:cs="仿宋_GB2312"/>
          <w:b/>
          <w:szCs w:val="30"/>
        </w:rPr>
      </w:pPr>
      <w:r>
        <w:rPr>
          <w:rFonts w:hint="eastAsia" w:ascii="仿宋" w:hAnsi="仿宋" w:eastAsia="仿宋" w:cs="仿宋_GB2312"/>
          <w:b/>
          <w:szCs w:val="30"/>
        </w:rPr>
        <w:t>2.10信托公司存续分立审批</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（1）申请书。内容包含申请人基本情况、存续分立原因及有关情况简要说明。</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（2）公司股东（大）会关于信托公司存续分立的决议。</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（3）存续分立实施方案。</w:t>
      </w:r>
    </w:p>
    <w:p>
      <w:pPr>
        <w:tabs>
          <w:tab w:val="left" w:pos="72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（4）分立后存续公司的业务处置及风险控制方案。</w:t>
      </w:r>
    </w:p>
    <w:p>
      <w:pPr>
        <w:tabs>
          <w:tab w:val="left" w:pos="72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（5）进行资产评估的，应提交资产评估报告，未进行资产评估的，应提交分立前的</w:t>
      </w:r>
      <w:r>
        <w:rPr>
          <w:rFonts w:hint="eastAsia" w:ascii="仿宋" w:hAnsi="仿宋" w:eastAsia="仿宋" w:cs="仿宋_GB2312"/>
          <w:szCs w:val="30"/>
        </w:rPr>
        <w:t>资产负债表和财产清单，分立后机构的资产负债表（预测）。</w:t>
      </w:r>
    </w:p>
    <w:p>
      <w:pPr>
        <w:tabs>
          <w:tab w:val="left" w:pos="72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szCs w:val="30"/>
        </w:rPr>
        <w:t>（6）分立后信托公司符合审慎监管要求的情况说明。</w:t>
      </w:r>
    </w:p>
    <w:p>
      <w:pPr>
        <w:tabs>
          <w:tab w:val="left" w:pos="720"/>
        </w:tabs>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（7）律师事务所出具的申请人在申请程序、材料等方面合法合规性及完整性的法律意见书</w:t>
      </w:r>
      <w:r>
        <w:rPr>
          <w:rFonts w:hint="eastAsia" w:ascii="仿宋" w:hAnsi="仿宋" w:eastAsia="仿宋" w:cs="仿宋_GB2312"/>
          <w:szCs w:val="30"/>
        </w:rPr>
        <w:t>。</w:t>
      </w:r>
    </w:p>
    <w:p>
      <w:pPr>
        <w:tabs>
          <w:tab w:val="left" w:pos="720"/>
        </w:tabs>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（8）银监会按照审慎性原则规定的其他文件。</w:t>
      </w:r>
    </w:p>
    <w:p>
      <w:pPr>
        <w:adjustRightInd w:val="0"/>
        <w:snapToGrid w:val="0"/>
        <w:spacing w:line="312" w:lineRule="auto"/>
        <w:ind w:firstLine="422" w:firstLineChars="200"/>
        <w:outlineLvl w:val="4"/>
        <w:rPr>
          <w:rFonts w:hint="eastAsia" w:ascii="仿宋" w:hAnsi="仿宋" w:eastAsia="仿宋" w:cs="仿宋_GB2312"/>
          <w:b/>
          <w:kern w:val="0"/>
          <w:szCs w:val="30"/>
        </w:rPr>
      </w:pPr>
      <w:r>
        <w:rPr>
          <w:rFonts w:hint="eastAsia" w:ascii="仿宋" w:hAnsi="仿宋" w:eastAsia="仿宋" w:cs="仿宋_GB2312"/>
          <w:b/>
          <w:kern w:val="0"/>
          <w:szCs w:val="30"/>
        </w:rPr>
        <w:t>2.11信托公司新设分立审批</w:t>
      </w:r>
    </w:p>
    <w:p>
      <w:pPr>
        <w:adjustRightInd w:val="0"/>
        <w:snapToGrid w:val="0"/>
        <w:spacing w:line="312" w:lineRule="auto"/>
        <w:ind w:firstLine="422" w:firstLineChars="200"/>
        <w:rPr>
          <w:rFonts w:hint="eastAsia" w:ascii="仿宋" w:hAnsi="仿宋" w:eastAsia="仿宋" w:cs="仿宋_GB2312"/>
          <w:b/>
          <w:kern w:val="0"/>
          <w:szCs w:val="30"/>
        </w:rPr>
      </w:pPr>
      <w:r>
        <w:rPr>
          <w:rFonts w:hint="eastAsia" w:ascii="仿宋" w:hAnsi="仿宋" w:eastAsia="仿宋" w:cs="仿宋_GB2312"/>
          <w:b/>
          <w:kern w:val="0"/>
          <w:szCs w:val="30"/>
        </w:rPr>
        <w:t>申请材料目录：</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（1）申请书。内容包含申请人基本情况、新设分立原因及有关情况简要说明。</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（2）公司股东（大）会关于信托公司新设分立的决议。</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（3）新设分立实施方案。</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（4）分立后原公司的遗留业务处置及风险控制方案。</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kern w:val="0"/>
          <w:szCs w:val="30"/>
        </w:rPr>
        <w:t>（5）进行资产评估的，应提交资产评估报告，未进行资产评估的，应提交分立前的</w:t>
      </w:r>
      <w:r>
        <w:rPr>
          <w:rFonts w:hint="eastAsia" w:ascii="仿宋" w:hAnsi="仿宋" w:eastAsia="仿宋" w:cs="仿宋_GB2312"/>
          <w:szCs w:val="30"/>
        </w:rPr>
        <w:t>资产负债表和财产清单，分立后机构的资产负债表（预测）。</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szCs w:val="30"/>
        </w:rPr>
        <w:t>（6）分立后信托公司符合审慎监管要求的情况说明。</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（7）律师事务所出具的申请人在申请程序、材料等方面合法合规性及完整性的法律意见书</w:t>
      </w:r>
      <w:r>
        <w:rPr>
          <w:rFonts w:hint="eastAsia" w:ascii="仿宋" w:hAnsi="仿宋" w:eastAsia="仿宋" w:cs="仿宋_GB2312"/>
          <w:szCs w:val="30"/>
        </w:rPr>
        <w:t>。</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（8）银监会按照审慎性原则规定的其他文件。</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信托公司分立完成情况报告材料目录：</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（1）完成公司分立有关情况的报告，包含变更金融许可证、工商变更登记、对外公告等情况的说明。</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（2）分立后各公司的营业执照复印件。</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（3）对外公告复印件。</w:t>
      </w:r>
    </w:p>
    <w:p>
      <w:pPr>
        <w:adjustRightInd w:val="0"/>
        <w:snapToGrid w:val="0"/>
        <w:spacing w:line="312" w:lineRule="auto"/>
        <w:ind w:firstLine="422" w:firstLineChars="200"/>
        <w:outlineLvl w:val="4"/>
        <w:rPr>
          <w:rFonts w:hint="eastAsia" w:ascii="仿宋" w:hAnsi="仿宋" w:eastAsia="仿宋" w:cs="仿宋_GB2312"/>
          <w:b/>
          <w:color w:val="000000"/>
          <w:szCs w:val="30"/>
        </w:rPr>
      </w:pPr>
      <w:r>
        <w:rPr>
          <w:rFonts w:hint="eastAsia" w:ascii="仿宋" w:hAnsi="仿宋" w:eastAsia="仿宋" w:cs="仿宋_GB2312"/>
          <w:b/>
          <w:color w:val="000000"/>
          <w:szCs w:val="30"/>
        </w:rPr>
        <w:t>2.12信托公司吸收合并审批</w:t>
      </w:r>
    </w:p>
    <w:p>
      <w:pPr>
        <w:adjustRightInd w:val="0"/>
        <w:snapToGrid w:val="0"/>
        <w:spacing w:line="312" w:lineRule="auto"/>
        <w:ind w:firstLine="422" w:firstLineChars="200"/>
        <w:rPr>
          <w:rFonts w:hint="eastAsia" w:ascii="仿宋" w:hAnsi="仿宋" w:eastAsia="仿宋" w:cs="仿宋_GB2312"/>
          <w:b/>
          <w:color w:val="000000"/>
          <w:szCs w:val="30"/>
        </w:rPr>
      </w:pPr>
      <w:r>
        <w:rPr>
          <w:rFonts w:hint="eastAsia" w:ascii="仿宋" w:hAnsi="仿宋" w:eastAsia="仿宋" w:cs="仿宋_GB2312"/>
          <w:b/>
          <w:color w:val="000000"/>
          <w:szCs w:val="30"/>
        </w:rPr>
        <w:t>申请材料目录：</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（1）申请书。内容至少包含申请人基本情况、被吸收合并方情况、合并原因及有关情况简要说明、合并后公司拟经营的业务范围。</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（2）合并各方公司股东（大）会或董事会的决议。</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（3）合并实施方案。</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（4）税务、债权及债务处置、承继方案。</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（5）存续方承继税务、债权及债务的承诺书。</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（6）合并各方的意向书。</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（7）合并协议、股东间协议、合资经营合同。</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（8）被合并公司的遗留业务处置及风险控制方案。</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（9）进行资产评估的，应提交资产评估报告，未进行资产评估的，应提交合并前的</w:t>
      </w:r>
      <w:r>
        <w:rPr>
          <w:rFonts w:hint="eastAsia" w:ascii="仿宋" w:hAnsi="仿宋" w:eastAsia="仿宋" w:cs="仿宋_GB2312"/>
          <w:color w:val="000000"/>
          <w:szCs w:val="30"/>
        </w:rPr>
        <w:t>资产负债表和财产清单，</w:t>
      </w:r>
      <w:r>
        <w:rPr>
          <w:rFonts w:hint="eastAsia" w:ascii="仿宋" w:hAnsi="仿宋" w:eastAsia="仿宋" w:cs="仿宋_GB2312"/>
          <w:color w:val="000000"/>
          <w:kern w:val="0"/>
          <w:szCs w:val="30"/>
        </w:rPr>
        <w:t>吸收合并后机构的资产负债表（预测）。</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（10）吸收合并后信托公司符合审慎监管要求的情况说明。</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szCs w:val="30"/>
        </w:rPr>
        <w:t>（11）合并后公司的章程草案。</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（12）律师事务所出具的申请人在申请程序、材料等方面合法合规性及完整性的法律意见书</w:t>
      </w:r>
      <w:r>
        <w:rPr>
          <w:rFonts w:hint="eastAsia" w:ascii="仿宋" w:hAnsi="仿宋" w:eastAsia="仿宋" w:cs="仿宋_GB2312"/>
          <w:color w:val="000000"/>
          <w:szCs w:val="30"/>
        </w:rPr>
        <w:t>。</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（13）银监会按照审慎性原则规定的其他文件。</w:t>
      </w:r>
    </w:p>
    <w:p>
      <w:pPr>
        <w:adjustRightInd w:val="0"/>
        <w:snapToGrid w:val="0"/>
        <w:spacing w:line="312" w:lineRule="auto"/>
        <w:ind w:firstLine="422" w:firstLineChars="200"/>
        <w:outlineLvl w:val="4"/>
        <w:rPr>
          <w:rFonts w:hint="eastAsia" w:ascii="仿宋" w:hAnsi="仿宋" w:eastAsia="仿宋" w:cs="仿宋_GB2312"/>
          <w:b/>
          <w:szCs w:val="30"/>
        </w:rPr>
      </w:pPr>
      <w:r>
        <w:rPr>
          <w:rFonts w:hint="eastAsia" w:ascii="仿宋" w:hAnsi="仿宋" w:eastAsia="仿宋" w:cs="仿宋_GB2312"/>
          <w:b/>
          <w:szCs w:val="30"/>
        </w:rPr>
        <w:t>2.13信托公司新设合并审批</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adjustRightInd w:val="0"/>
        <w:snapToGrid w:val="0"/>
        <w:spacing w:line="312" w:lineRule="auto"/>
        <w:ind w:firstLine="420" w:firstLineChars="200"/>
        <w:rPr>
          <w:rFonts w:hint="eastAsia" w:ascii="仿宋" w:hAnsi="仿宋" w:eastAsia="仿宋" w:cs="仿宋_GB2312"/>
          <w:bCs/>
          <w:szCs w:val="30"/>
        </w:rPr>
      </w:pPr>
      <w:r>
        <w:rPr>
          <w:rFonts w:hint="eastAsia" w:ascii="仿宋" w:hAnsi="仿宋" w:eastAsia="仿宋" w:cs="仿宋_GB2312"/>
          <w:bCs/>
          <w:szCs w:val="30"/>
        </w:rPr>
        <w:t>参照信托公司筹建、开业的申请材料目录。</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信托公司吸收合并（新设合并）完成情况报告材料目录：</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（1）公司完成吸收合并（新设合并）及对外公告有关情况的报告，包含变更金融许可证、工商变更登记、对外公告或信息披露等情况的说明。</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（2）合并后新公司的营业执照复印件。</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（3）对外公告复印件。</w:t>
      </w:r>
      <w:bookmarkStart w:id="1283" w:name="_Toc16383"/>
      <w:bookmarkStart w:id="1284" w:name="_Toc25717"/>
      <w:bookmarkStart w:id="1285" w:name="_Toc421891324"/>
      <w:bookmarkStart w:id="1286" w:name="_Toc8412"/>
      <w:bookmarkStart w:id="1287" w:name="_Toc21807"/>
      <w:bookmarkStart w:id="1288" w:name="_Toc77782677"/>
      <w:bookmarkStart w:id="1289" w:name="_Toc3468"/>
      <w:bookmarkStart w:id="1290" w:name="_Toc32766"/>
      <w:bookmarkStart w:id="1291" w:name="_Toc5418"/>
      <w:bookmarkStart w:id="1292" w:name="_Toc31918"/>
      <w:bookmarkStart w:id="1293" w:name="_Toc181087998"/>
      <w:bookmarkStart w:id="1294" w:name="_Toc25633"/>
      <w:bookmarkStart w:id="1295" w:name="_Toc692"/>
      <w:bookmarkStart w:id="1296" w:name="_Toc3667"/>
      <w:bookmarkStart w:id="1297" w:name="_Toc12991"/>
      <w:bookmarkStart w:id="1298" w:name="_Toc81194016"/>
      <w:bookmarkStart w:id="1299" w:name="_Toc18343"/>
    </w:p>
    <w:p>
      <w:pPr>
        <w:pStyle w:val="4"/>
        <w:spacing w:before="0" w:after="0" w:line="312" w:lineRule="auto"/>
        <w:rPr>
          <w:rFonts w:hint="eastAsia" w:ascii="仿宋" w:hAnsi="仿宋" w:eastAsia="仿宋" w:cs="仿宋_GB2312"/>
          <w:bCs w:val="0"/>
          <w:sz w:val="21"/>
          <w:szCs w:val="30"/>
        </w:rPr>
      </w:pPr>
      <w:bookmarkStart w:id="1300" w:name="_Toc518836339"/>
      <w:r>
        <w:rPr>
          <w:rFonts w:hint="eastAsia" w:ascii="仿宋" w:hAnsi="仿宋" w:eastAsia="仿宋" w:cs="仿宋_GB2312"/>
          <w:bCs w:val="0"/>
          <w:sz w:val="21"/>
          <w:szCs w:val="30"/>
        </w:rPr>
        <w:t>三、机构终止</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p>
    <w:p>
      <w:pPr>
        <w:pStyle w:val="5"/>
        <w:spacing w:before="0" w:beforeAutospacing="0" w:after="0" w:afterAutospacing="0" w:line="312" w:lineRule="auto"/>
        <w:rPr>
          <w:rFonts w:hint="eastAsia" w:ascii="仿宋" w:hAnsi="仿宋" w:eastAsia="仿宋" w:cs="仿宋_GB2312"/>
          <w:sz w:val="21"/>
          <w:szCs w:val="30"/>
        </w:rPr>
      </w:pPr>
      <w:bookmarkStart w:id="1301" w:name="_Toc421891325"/>
      <w:bookmarkStart w:id="1302" w:name="_Toc15043"/>
      <w:bookmarkStart w:id="1303" w:name="_Toc181088000"/>
      <w:bookmarkStart w:id="1304" w:name="_Toc2031"/>
      <w:bookmarkStart w:id="1305" w:name="_Toc4748"/>
      <w:bookmarkStart w:id="1306" w:name="_Toc31304"/>
      <w:bookmarkStart w:id="1307" w:name="_Toc26647"/>
      <w:bookmarkStart w:id="1308" w:name="_Toc15118"/>
      <w:bookmarkStart w:id="1309" w:name="_Toc24859"/>
      <w:bookmarkStart w:id="1310" w:name="_Toc10692"/>
      <w:bookmarkStart w:id="1311" w:name="_Toc28964"/>
      <w:bookmarkStart w:id="1312" w:name="_Toc13544"/>
      <w:bookmarkStart w:id="1313" w:name="_Toc24207"/>
      <w:bookmarkStart w:id="1314" w:name="_Toc25756"/>
      <w:bookmarkStart w:id="1315" w:name="_Toc3693"/>
      <w:r>
        <w:rPr>
          <w:rFonts w:hint="eastAsia" w:ascii="仿宋" w:hAnsi="仿宋" w:eastAsia="仿宋" w:cs="仿宋_GB2312"/>
          <w:sz w:val="21"/>
          <w:szCs w:val="30"/>
        </w:rPr>
        <w:t>（一）解散</w:t>
      </w:r>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p>
    <w:p>
      <w:pPr>
        <w:adjustRightInd w:val="0"/>
        <w:snapToGrid w:val="0"/>
        <w:spacing w:line="312" w:lineRule="auto"/>
        <w:ind w:firstLine="422" w:firstLineChars="200"/>
        <w:outlineLvl w:val="4"/>
        <w:rPr>
          <w:rFonts w:hint="eastAsia" w:ascii="仿宋" w:hAnsi="仿宋" w:eastAsia="仿宋" w:cs="仿宋_GB2312"/>
          <w:b/>
          <w:szCs w:val="30"/>
        </w:rPr>
      </w:pPr>
      <w:r>
        <w:rPr>
          <w:rFonts w:hint="eastAsia" w:ascii="仿宋" w:hAnsi="仿宋" w:eastAsia="仿宋" w:cs="仿宋_GB2312"/>
          <w:b/>
          <w:szCs w:val="30"/>
        </w:rPr>
        <w:t>3.1信托公司解散审批</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（1）申请书。内容至少包含机构基本情况及申请解散的理由。</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（2）股东（大）会决定解散公司的决议。</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bCs/>
          <w:szCs w:val="30"/>
        </w:rPr>
        <w:t>（3）清算方案。内容应包含债权债务清单及清偿计划、财产清单及处置计划、员工安排计划等。</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（4）拟成立清算组成员名单及简历。</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（5）申请解散前最近1个月的资产负债表和损益表。</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（6）律师事务所出具的申请人在申请程序、材料等方面合法合规性及完整性的法律意见书。</w:t>
      </w:r>
    </w:p>
    <w:p>
      <w:pPr>
        <w:adjustRightInd w:val="0"/>
        <w:snapToGrid w:val="0"/>
        <w:spacing w:line="312" w:lineRule="auto"/>
        <w:ind w:firstLine="420" w:firstLineChars="200"/>
        <w:rPr>
          <w:rFonts w:hint="eastAsia" w:ascii="仿宋" w:hAnsi="仿宋" w:eastAsia="仿宋" w:cs="仿宋_GB2312"/>
          <w:kern w:val="0"/>
          <w:szCs w:val="30"/>
        </w:rPr>
      </w:pPr>
      <w:r>
        <w:rPr>
          <w:rFonts w:hint="eastAsia" w:ascii="仿宋" w:hAnsi="仿宋" w:eastAsia="仿宋" w:cs="仿宋_GB2312"/>
          <w:kern w:val="0"/>
          <w:szCs w:val="30"/>
        </w:rPr>
        <w:t>（7）银监会按照审慎性原则规定的其他文件。</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信托公司解散后续事项报告材料目录（由清算组报告）：</w:t>
      </w:r>
    </w:p>
    <w:p>
      <w:pPr>
        <w:adjustRightInd w:val="0"/>
        <w:snapToGrid w:val="0"/>
        <w:spacing w:line="312" w:lineRule="auto"/>
        <w:ind w:firstLine="420" w:firstLineChars="200"/>
        <w:rPr>
          <w:rFonts w:hint="eastAsia" w:ascii="仿宋" w:hAnsi="仿宋" w:eastAsia="仿宋" w:cs="仿宋_GB2312"/>
          <w:bCs/>
          <w:szCs w:val="30"/>
        </w:rPr>
      </w:pPr>
      <w:r>
        <w:rPr>
          <w:rFonts w:hint="eastAsia" w:ascii="仿宋" w:hAnsi="仿宋" w:eastAsia="仿宋" w:cs="仿宋_GB2312"/>
          <w:bCs/>
          <w:szCs w:val="30"/>
        </w:rPr>
        <w:t>（1）清算报告。内容应包含清算工作的完成情况，对公司的清产核资、资产评估情况，对公司资产清收、处置情况，债务处理情况等。</w:t>
      </w:r>
    </w:p>
    <w:p>
      <w:pPr>
        <w:adjustRightInd w:val="0"/>
        <w:snapToGrid w:val="0"/>
        <w:spacing w:line="312" w:lineRule="auto"/>
        <w:ind w:firstLine="420" w:firstLineChars="200"/>
        <w:rPr>
          <w:rFonts w:hint="eastAsia" w:ascii="仿宋" w:hAnsi="仿宋" w:eastAsia="仿宋" w:cs="仿宋_GB2312"/>
          <w:bCs/>
          <w:szCs w:val="30"/>
        </w:rPr>
      </w:pPr>
      <w:r>
        <w:rPr>
          <w:rFonts w:hint="eastAsia" w:ascii="仿宋" w:hAnsi="仿宋" w:eastAsia="仿宋" w:cs="仿宋_GB2312"/>
          <w:bCs/>
          <w:szCs w:val="30"/>
        </w:rPr>
        <w:t>（2）金融许可证缴回情况和工商登记注销情况，并附对外公告复印件。</w:t>
      </w:r>
    </w:p>
    <w:p>
      <w:pPr>
        <w:pStyle w:val="5"/>
        <w:spacing w:before="0" w:beforeAutospacing="0" w:after="0" w:afterAutospacing="0" w:line="312" w:lineRule="auto"/>
        <w:rPr>
          <w:rFonts w:hint="eastAsia" w:ascii="仿宋" w:hAnsi="仿宋" w:eastAsia="仿宋" w:cs="仿宋_GB2312"/>
          <w:sz w:val="21"/>
          <w:szCs w:val="30"/>
        </w:rPr>
      </w:pPr>
      <w:bookmarkStart w:id="1316" w:name="_Toc81194018"/>
      <w:bookmarkStart w:id="1317" w:name="_Toc181088001"/>
      <w:bookmarkStart w:id="1318" w:name="_Toc2854"/>
      <w:bookmarkStart w:id="1319" w:name="_Toc10696"/>
      <w:bookmarkStart w:id="1320" w:name="_Toc18204"/>
      <w:bookmarkStart w:id="1321" w:name="_Toc1856"/>
      <w:bookmarkStart w:id="1322" w:name="_Toc16047"/>
      <w:bookmarkStart w:id="1323" w:name="_Toc12062"/>
      <w:bookmarkStart w:id="1324" w:name="_Toc18208"/>
      <w:bookmarkStart w:id="1325" w:name="_Toc421891326"/>
      <w:bookmarkStart w:id="1326" w:name="_Toc25224"/>
      <w:bookmarkStart w:id="1327" w:name="_Toc31271"/>
      <w:bookmarkStart w:id="1328" w:name="_Toc77782679"/>
      <w:bookmarkStart w:id="1329" w:name="_Toc30750"/>
      <w:bookmarkStart w:id="1330" w:name="_Toc5633"/>
      <w:bookmarkStart w:id="1331" w:name="_Toc23737"/>
      <w:bookmarkStart w:id="1332" w:name="_Toc29868"/>
      <w:r>
        <w:rPr>
          <w:rFonts w:hint="eastAsia" w:ascii="仿宋" w:hAnsi="仿宋" w:eastAsia="仿宋" w:cs="仿宋_GB2312"/>
          <w:sz w:val="21"/>
          <w:szCs w:val="30"/>
        </w:rPr>
        <w:t>（二）破产前审批</w:t>
      </w:r>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p>
      <w:pPr>
        <w:adjustRightInd w:val="0"/>
        <w:snapToGrid w:val="0"/>
        <w:spacing w:line="312" w:lineRule="auto"/>
        <w:ind w:firstLine="422" w:firstLineChars="200"/>
        <w:outlineLvl w:val="4"/>
        <w:rPr>
          <w:rFonts w:hint="eastAsia" w:ascii="仿宋" w:hAnsi="仿宋" w:eastAsia="仿宋" w:cs="仿宋_GB2312"/>
          <w:b/>
          <w:szCs w:val="30"/>
        </w:rPr>
      </w:pPr>
      <w:r>
        <w:rPr>
          <w:rFonts w:hint="eastAsia" w:ascii="仿宋" w:hAnsi="仿宋" w:eastAsia="仿宋" w:cs="仿宋_GB2312"/>
          <w:b/>
          <w:szCs w:val="30"/>
        </w:rPr>
        <w:t>3.2信托公司破产前审批</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申请材料目录：</w:t>
      </w:r>
    </w:p>
    <w:p>
      <w:pPr>
        <w:pStyle w:val="33"/>
        <w:adjustRightInd w:val="0"/>
        <w:snapToGrid w:val="0"/>
        <w:spacing w:before="0" w:beforeAutospacing="0" w:after="0" w:afterAutospacing="0" w:line="312" w:lineRule="auto"/>
        <w:ind w:left="19" w:leftChars="9" w:firstLine="420" w:firstLineChars="200"/>
        <w:rPr>
          <w:rFonts w:hint="eastAsia" w:ascii="仿宋" w:hAnsi="仿宋" w:eastAsia="仿宋" w:cs="仿宋_GB2312"/>
          <w:sz w:val="21"/>
          <w:szCs w:val="30"/>
        </w:rPr>
      </w:pPr>
      <w:r>
        <w:rPr>
          <w:rFonts w:hint="eastAsia" w:ascii="仿宋" w:hAnsi="仿宋" w:eastAsia="仿宋" w:cs="仿宋_GB2312"/>
          <w:sz w:val="21"/>
          <w:szCs w:val="30"/>
        </w:rPr>
        <w:t>（1）申请书。内容至少包含机构基本情况、申请破产的理由及破产后对主要债权人等有关方面的影响。</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（2）股东（大）会或者主要债权人同意破产的决议。</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（3）公司资产负债和损益情况的书面说明，并附资产负债表和损益表。</w:t>
      </w:r>
    </w:p>
    <w:p>
      <w:pPr>
        <w:pStyle w:val="33"/>
        <w:tabs>
          <w:tab w:val="left" w:pos="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（4）律师事务所出具的申请人在申请程序、材料等方面合法合规性及完整性的法律意见书。</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（5）银监会按照审慎性原则规定的其他文件。</w:t>
      </w:r>
    </w:p>
    <w:p>
      <w:pPr>
        <w:adjustRightInd w:val="0"/>
        <w:snapToGrid w:val="0"/>
        <w:spacing w:line="312" w:lineRule="auto"/>
        <w:ind w:firstLine="422" w:firstLineChars="200"/>
        <w:rPr>
          <w:rFonts w:hint="eastAsia" w:ascii="仿宋" w:hAnsi="仿宋" w:eastAsia="仿宋" w:cs="仿宋_GB2312"/>
          <w:b/>
          <w:szCs w:val="30"/>
        </w:rPr>
      </w:pPr>
      <w:r>
        <w:rPr>
          <w:rFonts w:hint="eastAsia" w:ascii="仿宋" w:hAnsi="仿宋" w:eastAsia="仿宋" w:cs="仿宋_GB2312"/>
          <w:b/>
          <w:szCs w:val="30"/>
        </w:rPr>
        <w:t>信托公司破产前审批后续事项报告材料目录（由清算组报告）：</w:t>
      </w:r>
    </w:p>
    <w:p>
      <w:pPr>
        <w:adjustRightInd w:val="0"/>
        <w:snapToGrid w:val="0"/>
        <w:spacing w:line="312" w:lineRule="auto"/>
        <w:ind w:firstLine="420" w:firstLineChars="200"/>
        <w:rPr>
          <w:rFonts w:hint="eastAsia" w:ascii="仿宋" w:hAnsi="仿宋" w:eastAsia="仿宋" w:cs="仿宋_GB2312"/>
          <w:bCs/>
          <w:szCs w:val="30"/>
        </w:rPr>
      </w:pPr>
      <w:r>
        <w:rPr>
          <w:rFonts w:hint="eastAsia" w:ascii="仿宋" w:hAnsi="仿宋" w:eastAsia="仿宋" w:cs="仿宋_GB2312"/>
          <w:bCs/>
          <w:szCs w:val="30"/>
        </w:rPr>
        <w:t>（1）法院宣告公司破产的裁定书复印件。</w:t>
      </w:r>
    </w:p>
    <w:p>
      <w:pPr>
        <w:adjustRightInd w:val="0"/>
        <w:snapToGrid w:val="0"/>
        <w:spacing w:line="312" w:lineRule="auto"/>
        <w:ind w:firstLine="420" w:firstLineChars="200"/>
        <w:rPr>
          <w:rFonts w:hint="eastAsia" w:ascii="仿宋" w:hAnsi="仿宋" w:eastAsia="仿宋" w:cs="仿宋_GB2312"/>
          <w:bCs/>
          <w:szCs w:val="30"/>
        </w:rPr>
      </w:pPr>
      <w:r>
        <w:rPr>
          <w:rFonts w:hint="eastAsia" w:ascii="仿宋" w:hAnsi="仿宋" w:eastAsia="仿宋" w:cs="仿宋_GB2312"/>
          <w:bCs/>
          <w:szCs w:val="30"/>
        </w:rPr>
        <w:t>（2）金融许可证缴回情况和工商登记注销情况，并附对外公告复印件。</w:t>
      </w:r>
      <w:bookmarkStart w:id="1333" w:name="_Toc77782680"/>
      <w:bookmarkStart w:id="1334" w:name="_Toc11586"/>
      <w:bookmarkStart w:id="1335" w:name="_Toc14590"/>
      <w:bookmarkStart w:id="1336" w:name="_Toc81194019"/>
      <w:bookmarkStart w:id="1337" w:name="_Toc181088005"/>
      <w:bookmarkStart w:id="1338" w:name="_Toc317"/>
      <w:bookmarkStart w:id="1339" w:name="_Toc818"/>
      <w:bookmarkStart w:id="1340" w:name="_Toc3859"/>
      <w:bookmarkStart w:id="1341" w:name="_Toc14483"/>
      <w:bookmarkStart w:id="1342" w:name="_Toc21883"/>
      <w:bookmarkStart w:id="1343" w:name="_Toc19085"/>
      <w:bookmarkStart w:id="1344" w:name="_Toc14118"/>
      <w:bookmarkStart w:id="1345" w:name="_Toc5022"/>
      <w:bookmarkStart w:id="1346" w:name="_Toc421891327"/>
      <w:bookmarkStart w:id="1347" w:name="_Toc178"/>
      <w:bookmarkStart w:id="1348" w:name="_Toc7403"/>
      <w:bookmarkStart w:id="1349" w:name="_Toc894"/>
    </w:p>
    <w:p>
      <w:pPr>
        <w:pStyle w:val="4"/>
        <w:spacing w:before="0" w:after="0" w:line="312" w:lineRule="auto"/>
        <w:rPr>
          <w:rFonts w:hint="eastAsia" w:ascii="仿宋" w:hAnsi="仿宋" w:eastAsia="仿宋" w:cs="仿宋_GB2312"/>
          <w:bCs w:val="0"/>
          <w:color w:val="000000"/>
          <w:kern w:val="0"/>
          <w:sz w:val="21"/>
          <w:szCs w:val="30"/>
        </w:rPr>
      </w:pPr>
      <w:bookmarkStart w:id="1350" w:name="_Toc518836340"/>
      <w:r>
        <w:rPr>
          <w:rFonts w:hint="eastAsia" w:ascii="仿宋" w:hAnsi="仿宋" w:eastAsia="仿宋" w:cs="仿宋_GB2312"/>
          <w:bCs w:val="0"/>
          <w:color w:val="000000"/>
          <w:sz w:val="21"/>
          <w:szCs w:val="30"/>
        </w:rPr>
        <w:t>四、调整业务范围和增加业务品种</w:t>
      </w:r>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Start w:id="1351" w:name="_Toc77782681"/>
      <w:bookmarkStart w:id="1352" w:name="_Toc81194020"/>
    </w:p>
    <w:p>
      <w:pPr>
        <w:pStyle w:val="5"/>
        <w:spacing w:before="0" w:beforeAutospacing="0" w:after="0" w:afterAutospacing="0" w:line="312" w:lineRule="auto"/>
        <w:rPr>
          <w:rFonts w:hint="eastAsia" w:ascii="仿宋" w:hAnsi="仿宋" w:eastAsia="仿宋" w:cs="仿宋_GB2312"/>
          <w:sz w:val="21"/>
          <w:szCs w:val="30"/>
        </w:rPr>
      </w:pPr>
      <w:bookmarkStart w:id="1353" w:name="_Toc28867"/>
      <w:bookmarkStart w:id="1354" w:name="_Toc27155"/>
      <w:bookmarkStart w:id="1355" w:name="_Toc27905"/>
      <w:bookmarkStart w:id="1356" w:name="_Toc30373"/>
      <w:bookmarkStart w:id="1357" w:name="_Toc25166"/>
      <w:bookmarkStart w:id="1358" w:name="_Toc31023"/>
      <w:bookmarkStart w:id="1359" w:name="_Toc28524"/>
      <w:bookmarkStart w:id="1360" w:name="_Toc181088006"/>
      <w:bookmarkStart w:id="1361" w:name="_Toc17167"/>
      <w:bookmarkStart w:id="1362" w:name="_Toc421891328"/>
      <w:bookmarkStart w:id="1363" w:name="_Toc21423"/>
      <w:bookmarkStart w:id="1364" w:name="_Toc17467"/>
      <w:bookmarkStart w:id="1365" w:name="_Toc23574"/>
      <w:bookmarkStart w:id="1366" w:name="_Toc30005"/>
      <w:bookmarkStart w:id="1367" w:name="_Toc10587"/>
      <w:r>
        <w:rPr>
          <w:rFonts w:hint="eastAsia" w:ascii="仿宋" w:hAnsi="仿宋" w:eastAsia="仿宋" w:cs="仿宋_GB2312"/>
          <w:sz w:val="21"/>
          <w:szCs w:val="30"/>
        </w:rPr>
        <w:t>（一）开办企业年金基金管理业务</w:t>
      </w:r>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p>
    <w:p>
      <w:pPr>
        <w:adjustRightInd w:val="0"/>
        <w:snapToGrid w:val="0"/>
        <w:spacing w:line="312" w:lineRule="auto"/>
        <w:ind w:firstLine="422" w:firstLineChars="200"/>
        <w:outlineLvl w:val="4"/>
        <w:rPr>
          <w:rFonts w:hint="eastAsia" w:ascii="仿宋" w:hAnsi="仿宋" w:eastAsia="仿宋" w:cs="仿宋_GB2312"/>
          <w:b/>
          <w:color w:val="000000"/>
          <w:szCs w:val="30"/>
        </w:rPr>
      </w:pPr>
      <w:r>
        <w:rPr>
          <w:rFonts w:hint="eastAsia" w:ascii="仿宋" w:hAnsi="仿宋" w:eastAsia="仿宋" w:cs="仿宋_GB2312"/>
          <w:b/>
          <w:color w:val="000000"/>
          <w:szCs w:val="30"/>
        </w:rPr>
        <w:t>4.1信托公司开办企业年金基金管理业务审批</w:t>
      </w:r>
    </w:p>
    <w:p>
      <w:pPr>
        <w:pStyle w:val="37"/>
        <w:adjustRightInd w:val="0"/>
        <w:snapToGrid w:val="0"/>
        <w:spacing w:line="312" w:lineRule="auto"/>
        <w:ind w:firstLine="422" w:firstLineChars="200"/>
        <w:rPr>
          <w:rFonts w:hint="eastAsia" w:ascii="仿宋" w:hAnsi="仿宋" w:eastAsia="仿宋" w:cs="仿宋_GB2312"/>
          <w:b/>
          <w:color w:val="000000"/>
          <w:sz w:val="21"/>
          <w:szCs w:val="30"/>
        </w:rPr>
      </w:pPr>
      <w:r>
        <w:rPr>
          <w:rFonts w:hint="eastAsia" w:ascii="仿宋" w:hAnsi="仿宋" w:eastAsia="仿宋" w:cs="仿宋_GB2312"/>
          <w:b/>
          <w:color w:val="000000"/>
          <w:sz w:val="21"/>
          <w:szCs w:val="30"/>
        </w:rPr>
        <w:t>申请材料目录：</w:t>
      </w:r>
    </w:p>
    <w:p>
      <w:pPr>
        <w:tabs>
          <w:tab w:val="left" w:pos="1125"/>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（1）申请书。内容至少包含</w:t>
      </w:r>
      <w:r>
        <w:rPr>
          <w:rFonts w:hint="eastAsia" w:ascii="仿宋" w:hAnsi="仿宋" w:eastAsia="仿宋" w:cs="仿宋_GB2312"/>
          <w:color w:val="000000"/>
          <w:kern w:val="0"/>
          <w:szCs w:val="30"/>
        </w:rPr>
        <w:t>机构基本情况、</w:t>
      </w:r>
      <w:r>
        <w:rPr>
          <w:rFonts w:hint="eastAsia" w:ascii="仿宋" w:hAnsi="仿宋" w:eastAsia="仿宋" w:cs="仿宋_GB2312"/>
          <w:color w:val="000000"/>
          <w:szCs w:val="30"/>
        </w:rPr>
        <w:t>各项风险监管指标情况、申请理由。</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2）申请人最近2个会计年度的审计报告；最近年度信托项目资产负债汇总表以及信托项目利润及利润分配汇总表；最近一个月的资产负债表、利润表；最近一个月信托项目资产负债汇总表以及信托项目利润及利润分配汇总表。</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szCs w:val="30"/>
        </w:rPr>
        <w:t>（3）</w:t>
      </w:r>
      <w:r>
        <w:rPr>
          <w:rFonts w:hint="eastAsia" w:ascii="仿宋" w:hAnsi="仿宋" w:eastAsia="仿宋" w:cs="仿宋_GB2312"/>
          <w:color w:val="000000"/>
          <w:kern w:val="0"/>
          <w:szCs w:val="30"/>
        </w:rPr>
        <w:t>股东（大）会或董事会同意开办相关业务的决议。</w:t>
      </w:r>
    </w:p>
    <w:p>
      <w:pPr>
        <w:adjustRightInd w:val="0"/>
        <w:snapToGrid w:val="0"/>
        <w:spacing w:line="312" w:lineRule="auto"/>
        <w:ind w:firstLine="420" w:firstLineChars="200"/>
        <w:rPr>
          <w:rFonts w:hint="eastAsia" w:ascii="仿宋" w:hAnsi="仿宋" w:eastAsia="仿宋" w:cs="仿宋_GB2312"/>
          <w:bCs/>
          <w:szCs w:val="30"/>
        </w:rPr>
      </w:pPr>
      <w:r>
        <w:rPr>
          <w:rFonts w:hint="eastAsia" w:ascii="仿宋" w:hAnsi="仿宋" w:eastAsia="仿宋" w:cs="仿宋_GB2312"/>
          <w:color w:val="000000"/>
          <w:szCs w:val="30"/>
        </w:rPr>
        <w:t>（4）可行性研究报告。</w:t>
      </w:r>
      <w:r>
        <w:rPr>
          <w:rFonts w:hint="eastAsia" w:ascii="仿宋" w:hAnsi="仿宋" w:eastAsia="仿宋" w:cs="仿宋_GB2312"/>
          <w:bCs/>
          <w:szCs w:val="30"/>
        </w:rPr>
        <w:t>内容至少包含公司资质情况、业务发展规划、目标客户群定位、业务可行性分析及资源配置情况。</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bCs/>
          <w:szCs w:val="30"/>
        </w:rPr>
        <w:t>（5）</w:t>
      </w:r>
      <w:r>
        <w:rPr>
          <w:rFonts w:hint="eastAsia" w:ascii="仿宋" w:hAnsi="仿宋" w:eastAsia="仿宋" w:cs="仿宋_GB2312"/>
          <w:color w:val="000000"/>
          <w:szCs w:val="30"/>
        </w:rPr>
        <w:t>与申请开办年金业务相适应的内部控制制度、业务操作规程及风险管理制度。</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（6）与申请开办年金业务相适应的专业人员名单及简历。</w:t>
      </w:r>
    </w:p>
    <w:p>
      <w:pPr>
        <w:adjustRightInd w:val="0"/>
        <w:snapToGrid w:val="0"/>
        <w:spacing w:line="312" w:lineRule="auto"/>
        <w:ind w:firstLine="420" w:firstLineChars="200"/>
        <w:rPr>
          <w:rFonts w:hint="eastAsia" w:ascii="仿宋" w:hAnsi="仿宋" w:eastAsia="仿宋" w:cs="仿宋_GB2312"/>
          <w:bCs/>
          <w:szCs w:val="30"/>
        </w:rPr>
      </w:pPr>
      <w:r>
        <w:rPr>
          <w:rFonts w:hint="eastAsia" w:ascii="仿宋" w:hAnsi="仿宋" w:eastAsia="仿宋" w:cs="仿宋_GB2312"/>
          <w:color w:val="000000"/>
          <w:szCs w:val="30"/>
        </w:rPr>
        <w:t>（7）</w:t>
      </w:r>
      <w:r>
        <w:rPr>
          <w:rFonts w:hint="eastAsia" w:ascii="仿宋" w:hAnsi="仿宋" w:eastAsia="仿宋" w:cs="仿宋_GB2312"/>
          <w:bCs/>
          <w:szCs w:val="30"/>
        </w:rPr>
        <w:t>与业务相适应的信息科技管理系统的运行情况、保障业务持续运营的技术及措施。</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（8）最近2年内所受各类司法、行政处罚情况说明，若未受处罚则作出声明。</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（9）对提交的上述材料真实性及依法合规开展业务的承诺书。</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（10）申请人符合审慎监管指标的情况说明。</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（11）银监会按照审慎性原则规定的其他文件。</w:t>
      </w:r>
    </w:p>
    <w:p>
      <w:pPr>
        <w:pStyle w:val="5"/>
        <w:spacing w:before="0" w:beforeAutospacing="0" w:after="0" w:afterAutospacing="0" w:line="312" w:lineRule="auto"/>
        <w:rPr>
          <w:rFonts w:hint="eastAsia" w:ascii="仿宋" w:hAnsi="仿宋" w:eastAsia="仿宋" w:cs="仿宋_GB2312"/>
          <w:sz w:val="21"/>
          <w:szCs w:val="30"/>
        </w:rPr>
      </w:pPr>
      <w:bookmarkStart w:id="1368" w:name="_Toc14942"/>
      <w:bookmarkStart w:id="1369" w:name="_Toc18349"/>
      <w:bookmarkStart w:id="1370" w:name="_Toc19704"/>
      <w:bookmarkStart w:id="1371" w:name="_Toc4853"/>
      <w:bookmarkStart w:id="1372" w:name="_Toc30650"/>
      <w:bookmarkStart w:id="1373" w:name="_Toc16626"/>
      <w:bookmarkStart w:id="1374" w:name="_Toc22770"/>
      <w:bookmarkStart w:id="1375" w:name="_Toc18980"/>
      <w:bookmarkStart w:id="1376" w:name="_Toc421891329"/>
      <w:bookmarkStart w:id="1377" w:name="_Toc21710"/>
      <w:bookmarkStart w:id="1378" w:name="_Toc12767"/>
      <w:bookmarkStart w:id="1379" w:name="_Toc10841"/>
      <w:bookmarkStart w:id="1380" w:name="_Toc10864"/>
      <w:bookmarkStart w:id="1381" w:name="_Toc10739"/>
      <w:bookmarkStart w:id="1382" w:name="_Toc181088007"/>
      <w:r>
        <w:rPr>
          <w:rFonts w:hint="eastAsia" w:ascii="仿宋" w:hAnsi="仿宋" w:eastAsia="仿宋" w:cs="仿宋_GB2312"/>
          <w:sz w:val="21"/>
          <w:szCs w:val="30"/>
        </w:rPr>
        <w:t>（二）申请特定目的信托受托机构资格</w:t>
      </w:r>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p>
    <w:p>
      <w:pPr>
        <w:adjustRightInd w:val="0"/>
        <w:snapToGrid w:val="0"/>
        <w:spacing w:line="312" w:lineRule="auto"/>
        <w:ind w:firstLine="422" w:firstLineChars="200"/>
        <w:outlineLvl w:val="4"/>
        <w:rPr>
          <w:rFonts w:hint="eastAsia" w:ascii="仿宋" w:hAnsi="仿宋" w:eastAsia="仿宋" w:cs="仿宋_GB2312"/>
          <w:b/>
          <w:szCs w:val="30"/>
        </w:rPr>
      </w:pPr>
      <w:r>
        <w:rPr>
          <w:rFonts w:hint="eastAsia" w:ascii="仿宋" w:hAnsi="仿宋" w:eastAsia="仿宋" w:cs="仿宋_GB2312"/>
          <w:b/>
          <w:szCs w:val="30"/>
        </w:rPr>
        <w:t>4.2信托公司申请特定目的信托受托机构资格审批</w:t>
      </w:r>
    </w:p>
    <w:p>
      <w:pPr>
        <w:pStyle w:val="37"/>
        <w:adjustRightInd w:val="0"/>
        <w:snapToGrid w:val="0"/>
        <w:spacing w:line="312" w:lineRule="auto"/>
        <w:ind w:firstLine="422" w:firstLineChars="200"/>
        <w:rPr>
          <w:rFonts w:hint="eastAsia" w:ascii="仿宋" w:hAnsi="仿宋" w:eastAsia="仿宋" w:cs="仿宋_GB2312"/>
          <w:b/>
          <w:sz w:val="21"/>
          <w:szCs w:val="30"/>
        </w:rPr>
      </w:pPr>
      <w:r>
        <w:rPr>
          <w:rFonts w:hint="eastAsia" w:ascii="仿宋" w:hAnsi="仿宋" w:eastAsia="仿宋" w:cs="仿宋_GB2312"/>
          <w:b/>
          <w:sz w:val="21"/>
          <w:szCs w:val="30"/>
        </w:rPr>
        <w:t>申请材料目录：</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（1）申请书。内容至少包含</w:t>
      </w:r>
      <w:r>
        <w:rPr>
          <w:rFonts w:hint="eastAsia" w:ascii="仿宋" w:hAnsi="仿宋" w:eastAsia="仿宋" w:cs="仿宋_GB2312"/>
          <w:kern w:val="0"/>
          <w:szCs w:val="30"/>
        </w:rPr>
        <w:t>申请人基本情况（自营业务</w:t>
      </w:r>
      <w:r>
        <w:rPr>
          <w:rFonts w:hint="eastAsia" w:ascii="仿宋" w:hAnsi="仿宋" w:eastAsia="仿宋" w:cs="仿宋_GB2312"/>
          <w:szCs w:val="30"/>
        </w:rPr>
        <w:t>资产状况和流动性</w:t>
      </w:r>
      <w:r>
        <w:rPr>
          <w:rFonts w:hint="eastAsia" w:ascii="仿宋" w:hAnsi="仿宋" w:eastAsia="仿宋" w:cs="仿宋_GB2312"/>
          <w:kern w:val="0"/>
          <w:szCs w:val="30"/>
        </w:rPr>
        <w:t>情况）、</w:t>
      </w:r>
      <w:r>
        <w:rPr>
          <w:rFonts w:hint="eastAsia" w:ascii="仿宋" w:hAnsi="仿宋" w:eastAsia="仿宋" w:cs="仿宋_GB2312"/>
          <w:color w:val="000000"/>
          <w:szCs w:val="30"/>
        </w:rPr>
        <w:t>各项风险监管指标情况</w:t>
      </w:r>
      <w:r>
        <w:rPr>
          <w:rFonts w:hint="eastAsia" w:ascii="仿宋" w:hAnsi="仿宋" w:eastAsia="仿宋" w:cs="仿宋_GB2312"/>
          <w:kern w:val="0"/>
          <w:szCs w:val="30"/>
        </w:rPr>
        <w:t>及</w:t>
      </w:r>
      <w:r>
        <w:rPr>
          <w:rFonts w:hint="eastAsia" w:ascii="仿宋" w:hAnsi="仿宋" w:eastAsia="仿宋" w:cs="仿宋_GB2312"/>
          <w:szCs w:val="30"/>
        </w:rPr>
        <w:t>申请理由。</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（2）申请人营业执照复印件。</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sz w:val="21"/>
          <w:szCs w:val="30"/>
        </w:rPr>
        <w:t>（3）</w:t>
      </w:r>
      <w:r>
        <w:rPr>
          <w:rFonts w:hint="eastAsia" w:ascii="仿宋" w:hAnsi="仿宋" w:eastAsia="仿宋" w:cs="仿宋_GB2312"/>
          <w:bCs/>
          <w:sz w:val="21"/>
          <w:szCs w:val="30"/>
        </w:rPr>
        <w:t>可行性报告。内容至少包含公司资质情况、业务发展规划、目标客户群定位、业务可行性分析及资源配置情况。</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（4）股东（大）会或董事会同意开办相关业务的的决议。</w:t>
      </w:r>
    </w:p>
    <w:p>
      <w:pPr>
        <w:pStyle w:val="37"/>
        <w:adjustRightInd w:val="0"/>
        <w:snapToGrid w:val="0"/>
        <w:spacing w:line="312" w:lineRule="auto"/>
        <w:ind w:firstLine="420" w:firstLineChars="200"/>
        <w:rPr>
          <w:rFonts w:hint="eastAsia" w:ascii="仿宋" w:hAnsi="仿宋" w:eastAsia="仿宋" w:cs="仿宋_GB2312"/>
          <w:sz w:val="21"/>
          <w:szCs w:val="30"/>
        </w:rPr>
      </w:pPr>
      <w:r>
        <w:rPr>
          <w:rFonts w:hint="eastAsia" w:ascii="仿宋" w:hAnsi="仿宋" w:eastAsia="仿宋" w:cs="仿宋_GB2312"/>
          <w:bCs/>
          <w:sz w:val="21"/>
          <w:szCs w:val="30"/>
        </w:rPr>
        <w:t>（5）</w:t>
      </w:r>
      <w:r>
        <w:rPr>
          <w:rFonts w:hint="eastAsia" w:ascii="仿宋" w:hAnsi="仿宋" w:eastAsia="仿宋" w:cs="仿宋_GB2312"/>
          <w:sz w:val="21"/>
          <w:szCs w:val="30"/>
        </w:rPr>
        <w:t>管理特定目的信托财产的操作规程、会计核算制度、风险管理和内部控制制度。</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（6）管理特定目的信托财产的业务主管人员和主要业务人员的名单和履历。</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7）最近2个会计年度审计报告；最近2个会计年度信托项目资产负债汇总表以及信托项目利润及利润分配汇总表；最近1个月的资产负债表、利润表、信托项目资产负债汇总表以及信托项目利润及利润分配汇总表。</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（8）最近2年内所受各类司法、行政处罚情况说明，若未受处罚则作出声明。</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（9）与业务经营相适应的信息系统建设情况、保障业务持续运营的技术与措施。</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（10）申请人自律承诺书。</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szCs w:val="30"/>
        </w:rPr>
        <w:t>（11）申请人符合审慎监管指标的情况说明。</w:t>
      </w:r>
    </w:p>
    <w:p>
      <w:pPr>
        <w:adjustRightInd w:val="0"/>
        <w:snapToGrid w:val="0"/>
        <w:spacing w:line="312" w:lineRule="auto"/>
        <w:ind w:firstLine="420" w:firstLineChars="200"/>
        <w:rPr>
          <w:rFonts w:hint="eastAsia" w:ascii="仿宋" w:hAnsi="仿宋" w:eastAsia="仿宋" w:cs="仿宋_GB2312"/>
          <w:szCs w:val="30"/>
        </w:rPr>
      </w:pPr>
      <w:r>
        <w:rPr>
          <w:rFonts w:hint="eastAsia" w:ascii="仿宋" w:hAnsi="仿宋" w:eastAsia="仿宋" w:cs="仿宋_GB2312"/>
          <w:szCs w:val="30"/>
        </w:rPr>
        <w:t>（12）银监会按照审慎性原则规定的其他文件。</w:t>
      </w:r>
      <w:bookmarkStart w:id="1383" w:name="_Toc181088008"/>
    </w:p>
    <w:p>
      <w:pPr>
        <w:pStyle w:val="5"/>
        <w:spacing w:before="0" w:beforeAutospacing="0" w:after="0" w:afterAutospacing="0" w:line="312" w:lineRule="auto"/>
        <w:rPr>
          <w:rFonts w:hint="eastAsia" w:ascii="仿宋" w:hAnsi="仿宋" w:eastAsia="仿宋" w:cs="仿宋_GB2312"/>
          <w:sz w:val="21"/>
          <w:szCs w:val="30"/>
        </w:rPr>
      </w:pPr>
      <w:bookmarkStart w:id="1384" w:name="_Toc12401"/>
      <w:bookmarkStart w:id="1385" w:name="_Toc23202"/>
      <w:bookmarkStart w:id="1386" w:name="_Toc21297"/>
      <w:bookmarkStart w:id="1387" w:name="_Toc11647"/>
      <w:bookmarkStart w:id="1388" w:name="_Toc10890"/>
      <w:bookmarkStart w:id="1389" w:name="_Toc30459"/>
      <w:bookmarkStart w:id="1390" w:name="_Toc421891330"/>
      <w:bookmarkStart w:id="1391" w:name="_Toc31545"/>
      <w:bookmarkStart w:id="1392" w:name="_Toc25533"/>
      <w:bookmarkStart w:id="1393" w:name="_Toc25421"/>
      <w:bookmarkStart w:id="1394" w:name="_Toc29170"/>
      <w:bookmarkStart w:id="1395" w:name="_Toc1645"/>
      <w:bookmarkStart w:id="1396" w:name="_Toc1364"/>
      <w:bookmarkStart w:id="1397" w:name="_Toc21145"/>
      <w:r>
        <w:rPr>
          <w:rFonts w:hint="eastAsia" w:ascii="仿宋" w:hAnsi="仿宋" w:eastAsia="仿宋" w:cs="仿宋_GB2312"/>
          <w:sz w:val="21"/>
          <w:szCs w:val="30"/>
        </w:rPr>
        <w:t>（三）申请开办境外受托理财业务资格</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p>
    <w:p>
      <w:pPr>
        <w:pStyle w:val="37"/>
        <w:adjustRightInd w:val="0"/>
        <w:snapToGrid w:val="0"/>
        <w:spacing w:line="312" w:lineRule="auto"/>
        <w:ind w:firstLine="422" w:firstLineChars="200"/>
        <w:outlineLvl w:val="4"/>
        <w:rPr>
          <w:rFonts w:hint="eastAsia" w:ascii="仿宋" w:hAnsi="仿宋" w:eastAsia="仿宋" w:cs="仿宋_GB2312"/>
          <w:b/>
          <w:bCs/>
          <w:sz w:val="21"/>
          <w:szCs w:val="30"/>
        </w:rPr>
      </w:pPr>
      <w:r>
        <w:rPr>
          <w:rFonts w:hint="eastAsia" w:ascii="仿宋" w:hAnsi="仿宋" w:eastAsia="仿宋" w:cs="仿宋_GB2312"/>
          <w:b/>
          <w:sz w:val="21"/>
          <w:szCs w:val="30"/>
        </w:rPr>
        <w:t>4.3信托公司申请开办境外受托理财业务资格</w:t>
      </w:r>
    </w:p>
    <w:p>
      <w:pPr>
        <w:pStyle w:val="37"/>
        <w:adjustRightInd w:val="0"/>
        <w:snapToGrid w:val="0"/>
        <w:spacing w:line="312" w:lineRule="auto"/>
        <w:ind w:firstLine="422" w:firstLineChars="200"/>
        <w:rPr>
          <w:rFonts w:hint="eastAsia" w:ascii="仿宋" w:hAnsi="仿宋" w:eastAsia="仿宋" w:cs="仿宋_GB2312"/>
          <w:b/>
          <w:sz w:val="21"/>
          <w:szCs w:val="30"/>
        </w:rPr>
      </w:pPr>
      <w:r>
        <w:rPr>
          <w:rFonts w:hint="eastAsia" w:ascii="仿宋" w:hAnsi="仿宋" w:eastAsia="仿宋" w:cs="仿宋_GB2312"/>
          <w:b/>
          <w:sz w:val="21"/>
          <w:szCs w:val="30"/>
        </w:rPr>
        <w:t>申请材料目录：</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（1）申请书。内容至少包含申请人基本情况、</w:t>
      </w:r>
      <w:r>
        <w:rPr>
          <w:rFonts w:hint="eastAsia" w:ascii="仿宋" w:hAnsi="仿宋" w:eastAsia="仿宋" w:cs="仿宋_GB2312"/>
          <w:color w:val="000000"/>
          <w:sz w:val="21"/>
          <w:szCs w:val="30"/>
        </w:rPr>
        <w:t>各项风险监管指标情况、</w:t>
      </w:r>
      <w:r>
        <w:rPr>
          <w:rFonts w:hint="eastAsia" w:ascii="仿宋" w:hAnsi="仿宋" w:eastAsia="仿宋" w:cs="仿宋_GB2312"/>
          <w:bCs/>
          <w:sz w:val="21"/>
          <w:szCs w:val="30"/>
        </w:rPr>
        <w:t>拟申请外汇额度、投资计划。</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（2）可行性报告。内容至少包含公司资质情况、业务发展规划、目标客户群定位、业务可行性分析及资源配置情况。</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（3）股东（大）会或董事会同意开办相关业务的决议。</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（4）内部控制与风险管理制度。至少包含：受托境外理财业务管理制度；外汇投资或外汇交易管理制度；市场风险管理制度。</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（5）开办受托境外理财业务人员和部门的情况介绍。包含从事境外投资专业人员简历。</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（6）与业务相适应的信息科技管理系统的运行情况、保障业务持续运营的技术及措施。</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7）托管人有关材料和协议草案。托管协议草案应明确拟聘请托管人。由于管理程序、商务谈判等原因无法确定托管人时，可以暂不填写托管人的情况，但需在协议草案中明确说明信托公司与托管人的主要权利和业务，并在明确托管人后，将托管人基本情况及时报告监管部门。</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（8）经营外汇业务的证明文件复印件。</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（9）最近2个会计年度的审计报告。</w:t>
      </w:r>
    </w:p>
    <w:p>
      <w:pPr>
        <w:adjustRightInd w:val="0"/>
        <w:snapToGrid w:val="0"/>
        <w:spacing w:line="312" w:lineRule="auto"/>
        <w:ind w:firstLine="420" w:firstLineChars="200"/>
        <w:rPr>
          <w:rFonts w:hint="eastAsia" w:ascii="仿宋" w:hAnsi="仿宋" w:eastAsia="仿宋" w:cs="仿宋_GB2312"/>
          <w:bCs/>
          <w:szCs w:val="30"/>
        </w:rPr>
      </w:pPr>
      <w:r>
        <w:rPr>
          <w:rFonts w:hint="eastAsia" w:ascii="仿宋" w:hAnsi="仿宋" w:eastAsia="仿宋" w:cs="仿宋_GB2312"/>
          <w:bCs/>
          <w:szCs w:val="30"/>
        </w:rPr>
        <w:t>（10）申请人符合审慎监管指标的情况说明。</w:t>
      </w:r>
    </w:p>
    <w:p>
      <w:pPr>
        <w:adjustRightInd w:val="0"/>
        <w:snapToGrid w:val="0"/>
        <w:spacing w:line="312" w:lineRule="auto"/>
        <w:ind w:firstLine="420" w:firstLineChars="200"/>
        <w:rPr>
          <w:rFonts w:hint="eastAsia" w:ascii="仿宋" w:hAnsi="仿宋" w:eastAsia="仿宋" w:cs="仿宋_GB2312"/>
          <w:bCs/>
          <w:kern w:val="0"/>
          <w:szCs w:val="30"/>
        </w:rPr>
      </w:pPr>
      <w:r>
        <w:rPr>
          <w:rFonts w:hint="eastAsia" w:ascii="仿宋" w:hAnsi="仿宋" w:eastAsia="仿宋" w:cs="仿宋_GB2312"/>
          <w:bCs/>
          <w:kern w:val="0"/>
          <w:szCs w:val="30"/>
        </w:rPr>
        <w:t>（11）最近2年内所受各类司法、行政处罚情况说明，若未受处罚则作出声明。</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（12）银监会按照审慎性原则规定的其他文件。</w:t>
      </w:r>
    </w:p>
    <w:p>
      <w:pPr>
        <w:pStyle w:val="37"/>
        <w:adjustRightInd w:val="0"/>
        <w:snapToGrid w:val="0"/>
        <w:spacing w:line="312" w:lineRule="auto"/>
        <w:ind w:firstLine="422" w:firstLineChars="200"/>
        <w:rPr>
          <w:rFonts w:hint="eastAsia" w:ascii="仿宋" w:hAnsi="仿宋" w:eastAsia="仿宋" w:cs="仿宋_GB2312"/>
          <w:b/>
          <w:sz w:val="21"/>
          <w:szCs w:val="30"/>
        </w:rPr>
      </w:pPr>
      <w:r>
        <w:rPr>
          <w:rFonts w:hint="eastAsia" w:ascii="仿宋" w:hAnsi="仿宋" w:eastAsia="仿宋" w:cs="仿宋_GB2312"/>
          <w:b/>
          <w:sz w:val="21"/>
          <w:szCs w:val="30"/>
        </w:rPr>
        <w:t>取得境外受托理财业务资格的信托公司开办境外受托理财业务报告材料目录：</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（1）产品的可行性分析报告。</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（2）信托文件草案。</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（3）托管协议。</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（4）风险申明书。</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（5）信托财产运用方案。</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（6）风险控制技术说明。</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（7）信息披露及风险管理报告格式。</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（8）推介方案。</w:t>
      </w:r>
    </w:p>
    <w:p>
      <w:pPr>
        <w:pStyle w:val="37"/>
        <w:adjustRightInd w:val="0"/>
        <w:snapToGrid w:val="0"/>
        <w:spacing w:line="312" w:lineRule="auto"/>
        <w:ind w:firstLine="420" w:firstLineChars="200"/>
        <w:rPr>
          <w:rFonts w:hint="eastAsia" w:ascii="仿宋" w:hAnsi="仿宋" w:eastAsia="仿宋" w:cs="仿宋_GB2312"/>
          <w:bCs/>
          <w:sz w:val="21"/>
          <w:szCs w:val="30"/>
        </w:rPr>
      </w:pPr>
      <w:r>
        <w:rPr>
          <w:rFonts w:hint="eastAsia" w:ascii="仿宋" w:hAnsi="仿宋" w:eastAsia="仿宋" w:cs="仿宋_GB2312"/>
          <w:bCs/>
          <w:sz w:val="21"/>
          <w:szCs w:val="30"/>
        </w:rPr>
        <w:t>（9）业务部门及人员简介。</w:t>
      </w:r>
    </w:p>
    <w:p>
      <w:pPr>
        <w:pStyle w:val="37"/>
        <w:adjustRightInd w:val="0"/>
        <w:snapToGrid w:val="0"/>
        <w:spacing w:line="312" w:lineRule="auto"/>
        <w:ind w:firstLine="420" w:firstLineChars="200"/>
        <w:rPr>
          <w:rFonts w:hint="eastAsia" w:ascii="仿宋" w:hAnsi="仿宋" w:eastAsia="仿宋" w:cs="仿宋_GB2312"/>
          <w:bCs/>
          <w:color w:val="000000"/>
          <w:sz w:val="21"/>
          <w:szCs w:val="30"/>
        </w:rPr>
      </w:pPr>
      <w:r>
        <w:rPr>
          <w:rFonts w:hint="eastAsia" w:ascii="仿宋" w:hAnsi="仿宋" w:eastAsia="仿宋" w:cs="仿宋_GB2312"/>
          <w:bCs/>
          <w:color w:val="000000"/>
          <w:sz w:val="21"/>
          <w:szCs w:val="30"/>
        </w:rPr>
        <w:t>（10）外部律师出具的法律意见书。</w:t>
      </w:r>
    </w:p>
    <w:p>
      <w:pPr>
        <w:pStyle w:val="37"/>
        <w:adjustRightInd w:val="0"/>
        <w:snapToGrid w:val="0"/>
        <w:spacing w:line="312" w:lineRule="auto"/>
        <w:ind w:firstLine="420" w:firstLineChars="200"/>
        <w:rPr>
          <w:rFonts w:hint="eastAsia" w:ascii="仿宋" w:hAnsi="仿宋" w:eastAsia="仿宋" w:cs="仿宋_GB2312"/>
          <w:color w:val="000000"/>
          <w:sz w:val="21"/>
          <w:szCs w:val="30"/>
        </w:rPr>
      </w:pPr>
      <w:r>
        <w:rPr>
          <w:rFonts w:hint="eastAsia" w:ascii="仿宋" w:hAnsi="仿宋" w:eastAsia="仿宋" w:cs="仿宋_GB2312"/>
          <w:bCs/>
          <w:color w:val="000000"/>
          <w:sz w:val="21"/>
          <w:szCs w:val="30"/>
        </w:rPr>
        <w:t>（11）</w:t>
      </w:r>
      <w:r>
        <w:rPr>
          <w:rFonts w:hint="eastAsia" w:ascii="仿宋" w:hAnsi="仿宋" w:eastAsia="仿宋" w:cs="仿宋_GB2312"/>
          <w:color w:val="000000"/>
          <w:sz w:val="21"/>
          <w:szCs w:val="30"/>
        </w:rPr>
        <w:t>银监会按照审慎性原则规定的其他文件。</w:t>
      </w:r>
    </w:p>
    <w:p>
      <w:pPr>
        <w:pStyle w:val="5"/>
        <w:spacing w:before="0" w:beforeAutospacing="0" w:after="0" w:afterAutospacing="0" w:line="312" w:lineRule="auto"/>
        <w:rPr>
          <w:rFonts w:hint="eastAsia" w:ascii="仿宋" w:hAnsi="仿宋" w:eastAsia="仿宋" w:cs="仿宋_GB2312"/>
          <w:sz w:val="21"/>
          <w:szCs w:val="30"/>
        </w:rPr>
      </w:pPr>
      <w:bookmarkStart w:id="1398" w:name="_Toc17671"/>
      <w:bookmarkStart w:id="1399" w:name="_Toc14600"/>
      <w:bookmarkStart w:id="1400" w:name="_Toc20077"/>
      <w:bookmarkStart w:id="1401" w:name="_Toc20910"/>
      <w:bookmarkStart w:id="1402" w:name="_Toc421891331"/>
      <w:r>
        <w:rPr>
          <w:rFonts w:hint="eastAsia" w:ascii="仿宋" w:hAnsi="仿宋" w:eastAsia="仿宋" w:cs="仿宋_GB2312"/>
          <w:sz w:val="21"/>
          <w:szCs w:val="30"/>
        </w:rPr>
        <w:t>（四）申请股指期货交易业务等衍生产品交易资格</w:t>
      </w:r>
      <w:bookmarkEnd w:id="1398"/>
      <w:bookmarkEnd w:id="1399"/>
      <w:bookmarkEnd w:id="1400"/>
      <w:bookmarkEnd w:id="1401"/>
      <w:bookmarkEnd w:id="1402"/>
    </w:p>
    <w:p>
      <w:pPr>
        <w:adjustRightInd w:val="0"/>
        <w:snapToGrid w:val="0"/>
        <w:spacing w:line="312" w:lineRule="auto"/>
        <w:ind w:firstLine="422" w:firstLineChars="200"/>
        <w:outlineLvl w:val="4"/>
        <w:rPr>
          <w:rStyle w:val="52"/>
          <w:rFonts w:hint="eastAsia" w:ascii="仿宋" w:hAnsi="仿宋" w:eastAsia="仿宋" w:cs="仿宋_GB2312"/>
          <w:b/>
          <w:bCs/>
          <w:color w:val="000000"/>
          <w:szCs w:val="30"/>
        </w:rPr>
      </w:pPr>
      <w:r>
        <w:rPr>
          <w:rFonts w:hint="eastAsia" w:ascii="仿宋" w:hAnsi="仿宋" w:eastAsia="仿宋" w:cs="仿宋_GB2312"/>
          <w:b/>
          <w:color w:val="000000"/>
          <w:szCs w:val="30"/>
        </w:rPr>
        <w:t>4.4</w:t>
      </w:r>
      <w:r>
        <w:rPr>
          <w:rFonts w:hint="eastAsia" w:ascii="仿宋" w:hAnsi="仿宋" w:eastAsia="仿宋" w:cs="仿宋_GB2312"/>
          <w:b/>
          <w:color w:val="000000"/>
          <w:kern w:val="0"/>
          <w:szCs w:val="30"/>
        </w:rPr>
        <w:t>申请股指期货交易业务等衍生产品交易资格</w:t>
      </w:r>
    </w:p>
    <w:p>
      <w:pPr>
        <w:adjustRightInd w:val="0"/>
        <w:snapToGrid w:val="0"/>
        <w:spacing w:line="312" w:lineRule="auto"/>
        <w:ind w:firstLine="422" w:firstLineChars="200"/>
        <w:rPr>
          <w:rFonts w:hint="eastAsia" w:ascii="仿宋" w:hAnsi="仿宋" w:eastAsia="仿宋" w:cs="仿宋_GB2312"/>
          <w:b/>
          <w:color w:val="000000"/>
          <w:szCs w:val="30"/>
        </w:rPr>
      </w:pPr>
      <w:r>
        <w:rPr>
          <w:rFonts w:hint="eastAsia" w:ascii="仿宋" w:hAnsi="仿宋" w:eastAsia="仿宋" w:cs="仿宋_GB2312"/>
          <w:b/>
          <w:color w:val="000000"/>
          <w:szCs w:val="30"/>
        </w:rPr>
        <w:t>申请材料目录：</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（1）申请书</w:t>
      </w:r>
      <w:r>
        <w:rPr>
          <w:rFonts w:hint="eastAsia" w:ascii="仿宋" w:hAnsi="仿宋" w:eastAsia="仿宋" w:cs="仿宋_GB2312"/>
          <w:color w:val="000000"/>
          <w:szCs w:val="30"/>
        </w:rPr>
        <w:t>。说明</w:t>
      </w:r>
      <w:r>
        <w:rPr>
          <w:rFonts w:hint="eastAsia" w:ascii="仿宋" w:hAnsi="仿宋" w:eastAsia="仿宋" w:cs="仿宋_GB2312"/>
          <w:color w:val="000000"/>
          <w:kern w:val="0"/>
          <w:szCs w:val="30"/>
        </w:rPr>
        <w:t>申请人基本情况、</w:t>
      </w:r>
      <w:r>
        <w:rPr>
          <w:rFonts w:hint="eastAsia" w:ascii="仿宋" w:hAnsi="仿宋" w:eastAsia="仿宋" w:cs="仿宋_GB2312"/>
          <w:color w:val="000000"/>
          <w:szCs w:val="30"/>
        </w:rPr>
        <w:t>各项风险监管指标情况</w:t>
      </w:r>
      <w:r>
        <w:rPr>
          <w:rFonts w:hint="eastAsia" w:ascii="仿宋" w:hAnsi="仿宋" w:eastAsia="仿宋" w:cs="仿宋_GB2312"/>
          <w:color w:val="000000"/>
          <w:kern w:val="0"/>
          <w:szCs w:val="30"/>
        </w:rPr>
        <w:t>及</w:t>
      </w:r>
      <w:r>
        <w:rPr>
          <w:rFonts w:hint="eastAsia" w:ascii="仿宋" w:hAnsi="仿宋" w:eastAsia="仿宋" w:cs="仿宋_GB2312"/>
          <w:color w:val="000000"/>
          <w:szCs w:val="30"/>
        </w:rPr>
        <w:t>申请的理由</w:t>
      </w:r>
      <w:r>
        <w:rPr>
          <w:rFonts w:hint="eastAsia" w:ascii="仿宋" w:hAnsi="仿宋" w:eastAsia="仿宋" w:cs="仿宋_GB2312"/>
          <w:color w:val="000000"/>
          <w:kern w:val="0"/>
          <w:szCs w:val="30"/>
        </w:rPr>
        <w:t>。</w:t>
      </w:r>
    </w:p>
    <w:p>
      <w:pPr>
        <w:tabs>
          <w:tab w:val="left" w:pos="1125"/>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（2）可行性研究报告。</w:t>
      </w:r>
      <w:r>
        <w:rPr>
          <w:rFonts w:hint="eastAsia" w:ascii="仿宋" w:hAnsi="仿宋" w:eastAsia="仿宋" w:cs="仿宋_GB2312"/>
          <w:color w:val="000000"/>
          <w:szCs w:val="30"/>
        </w:rPr>
        <w:t>内容至少包含拟开展业务的必要性、可行性分析，业务发展规划，风险控制措施，收益预测及具体人员配备及分工情况。</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（3）股东（大）会或董事会同意开办相关业务的决议。</w:t>
      </w:r>
    </w:p>
    <w:p>
      <w:pPr>
        <w:pStyle w:val="33"/>
        <w:tabs>
          <w:tab w:val="left" w:pos="1080"/>
        </w:tabs>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（4）衍生产品交易业务内部管理规章制度，内容至少包含：</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①衍生产品交易业务的指导原则、业务操作规程（业务操作规程应体现交易前台、中台与后台分离的原则）和针对突发事件的应急计划；</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②衍生产品交易的风险模型指标及量化管理指标；</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③交易品种及其风险控制制度；</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④风险报告制度和内部审计制度；</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⑤衍生产品交易业务研究与开发的管理制度及后评价制度；</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⑥交易员守则；</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⑦交易主管人员岗位责任制度，对各级主管人员与交易员的问责制和激励约束机制；</w:t>
      </w:r>
    </w:p>
    <w:p>
      <w:pPr>
        <w:tabs>
          <w:tab w:val="left" w:pos="1125"/>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⑧对前、中、后台主管人员及工作人员的培训计划；</w:t>
      </w:r>
    </w:p>
    <w:p>
      <w:pPr>
        <w:tabs>
          <w:tab w:val="left" w:pos="1125"/>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szCs w:val="30"/>
        </w:rPr>
        <w:t>⑨盯市管理制度/操作规程。</w:t>
      </w:r>
    </w:p>
    <w:p>
      <w:pPr>
        <w:tabs>
          <w:tab w:val="left" w:pos="1125"/>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（5）衍生产品交易的会计制度。</w:t>
      </w:r>
    </w:p>
    <w:p>
      <w:pPr>
        <w:tabs>
          <w:tab w:val="left" w:pos="1125"/>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（6）主管人员和主要交易人员名单、履历及资质证明。</w:t>
      </w:r>
    </w:p>
    <w:p>
      <w:pPr>
        <w:tabs>
          <w:tab w:val="left" w:pos="1125"/>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（7）风险敞口量化或限额的授权管理制度。</w:t>
      </w:r>
    </w:p>
    <w:p>
      <w:pPr>
        <w:tabs>
          <w:tab w:val="left" w:pos="1125"/>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（8）交易场所、设备和系统的安全性测试报告。</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（9）最近2年内所受各类司法、行政处罚情况说明，若未受处罚则作出声明。</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（10</w:t>
      </w:r>
      <w:r>
        <w:rPr>
          <w:rFonts w:hint="eastAsia" w:ascii="仿宋" w:hAnsi="仿宋" w:eastAsia="仿宋" w:cs="仿宋_GB2312"/>
          <w:color w:val="000000"/>
          <w:szCs w:val="30"/>
        </w:rPr>
        <w:t>）申请人符合审慎监管指标的情况说明。</w:t>
      </w:r>
    </w:p>
    <w:p>
      <w:pPr>
        <w:tabs>
          <w:tab w:val="left" w:pos="1125"/>
        </w:tabs>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（11）银监会按照审慎性原则规定的其他文件。</w:t>
      </w:r>
    </w:p>
    <w:p>
      <w:pPr>
        <w:pStyle w:val="5"/>
        <w:spacing w:before="0" w:beforeAutospacing="0" w:after="0" w:afterAutospacing="0" w:line="312" w:lineRule="auto"/>
        <w:rPr>
          <w:rFonts w:hint="eastAsia" w:ascii="仿宋" w:hAnsi="仿宋" w:eastAsia="仿宋" w:cs="仿宋_GB2312"/>
          <w:sz w:val="21"/>
          <w:szCs w:val="30"/>
        </w:rPr>
      </w:pPr>
      <w:bookmarkStart w:id="1403" w:name="_Toc18878"/>
      <w:bookmarkStart w:id="1404" w:name="_Toc14115"/>
      <w:bookmarkStart w:id="1405" w:name="_Toc6419"/>
      <w:bookmarkStart w:id="1406" w:name="_Toc863"/>
      <w:bookmarkStart w:id="1407" w:name="_Toc7235"/>
      <w:bookmarkStart w:id="1408" w:name="_Toc4417"/>
      <w:bookmarkStart w:id="1409" w:name="_Toc6770"/>
      <w:bookmarkStart w:id="1410" w:name="_Toc18919"/>
      <w:bookmarkStart w:id="1411" w:name="_Toc421891332"/>
      <w:bookmarkStart w:id="1412" w:name="_Toc13550"/>
      <w:bookmarkStart w:id="1413" w:name="_Toc20804"/>
      <w:bookmarkStart w:id="1414" w:name="_Toc31897"/>
      <w:bookmarkStart w:id="1415" w:name="_Toc6961"/>
      <w:bookmarkStart w:id="1416" w:name="_Toc1603"/>
      <w:r>
        <w:rPr>
          <w:rFonts w:hint="eastAsia" w:ascii="仿宋" w:hAnsi="仿宋" w:eastAsia="仿宋" w:cs="仿宋_GB2312"/>
          <w:sz w:val="21"/>
          <w:szCs w:val="30"/>
        </w:rPr>
        <w:t>（五）发行金融债券、次级债券</w:t>
      </w:r>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p>
    <w:p>
      <w:pPr>
        <w:adjustRightInd w:val="0"/>
        <w:snapToGrid w:val="0"/>
        <w:spacing w:line="312" w:lineRule="auto"/>
        <w:ind w:firstLine="422" w:firstLineChars="200"/>
        <w:outlineLvl w:val="4"/>
        <w:rPr>
          <w:rFonts w:hint="eastAsia" w:ascii="仿宋" w:hAnsi="仿宋" w:eastAsia="仿宋" w:cs="仿宋_GB2312"/>
          <w:b/>
          <w:color w:val="000000"/>
          <w:szCs w:val="30"/>
        </w:rPr>
      </w:pPr>
      <w:r>
        <w:rPr>
          <w:rFonts w:hint="eastAsia" w:ascii="仿宋" w:hAnsi="仿宋" w:eastAsia="仿宋" w:cs="仿宋_GB2312"/>
          <w:b/>
          <w:bCs/>
          <w:color w:val="000000"/>
          <w:kern w:val="0"/>
          <w:szCs w:val="30"/>
        </w:rPr>
        <w:t>4.5</w:t>
      </w:r>
      <w:r>
        <w:rPr>
          <w:rFonts w:hint="eastAsia" w:ascii="仿宋" w:hAnsi="仿宋" w:eastAsia="仿宋" w:cs="仿宋_GB2312"/>
          <w:b/>
          <w:color w:val="000000"/>
          <w:szCs w:val="30"/>
        </w:rPr>
        <w:t>信托公司发行金融债券、次级债券审批</w:t>
      </w:r>
    </w:p>
    <w:p>
      <w:pPr>
        <w:adjustRightInd w:val="0"/>
        <w:snapToGrid w:val="0"/>
        <w:spacing w:line="312" w:lineRule="auto"/>
        <w:ind w:firstLine="422" w:firstLineChars="200"/>
        <w:rPr>
          <w:rFonts w:hint="eastAsia" w:ascii="仿宋" w:hAnsi="仿宋" w:eastAsia="仿宋" w:cs="仿宋_GB2312"/>
          <w:b/>
          <w:color w:val="000000"/>
          <w:szCs w:val="30"/>
        </w:rPr>
      </w:pPr>
      <w:r>
        <w:rPr>
          <w:rFonts w:hint="eastAsia" w:ascii="仿宋" w:hAnsi="仿宋" w:eastAsia="仿宋" w:cs="仿宋_GB2312"/>
          <w:b/>
          <w:color w:val="000000"/>
          <w:szCs w:val="30"/>
        </w:rPr>
        <w:t>申请材料目录：</w:t>
      </w:r>
    </w:p>
    <w:p>
      <w:pPr>
        <w:tabs>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（1）申请书。内容至少包含</w:t>
      </w:r>
      <w:r>
        <w:rPr>
          <w:rFonts w:hint="eastAsia" w:ascii="仿宋" w:hAnsi="仿宋" w:eastAsia="仿宋" w:cs="仿宋_GB2312"/>
          <w:color w:val="000000"/>
          <w:kern w:val="0"/>
          <w:szCs w:val="30"/>
        </w:rPr>
        <w:t>申请人基本情况、无到期不能支付的债务情况说明、</w:t>
      </w:r>
      <w:r>
        <w:rPr>
          <w:rFonts w:hint="eastAsia" w:ascii="仿宋" w:hAnsi="仿宋" w:eastAsia="仿宋" w:cs="仿宋_GB2312"/>
          <w:color w:val="000000"/>
          <w:szCs w:val="30"/>
        </w:rPr>
        <w:t>各项风险监管指标情况、</w:t>
      </w:r>
      <w:r>
        <w:rPr>
          <w:rFonts w:hint="eastAsia" w:ascii="仿宋" w:hAnsi="仿宋" w:eastAsia="仿宋" w:cs="仿宋_GB2312"/>
          <w:color w:val="000000"/>
          <w:kern w:val="0"/>
          <w:szCs w:val="30"/>
        </w:rPr>
        <w:t>发行金融债券/次级债券的理由</w:t>
      </w:r>
      <w:r>
        <w:rPr>
          <w:rFonts w:hint="eastAsia" w:ascii="仿宋" w:hAnsi="仿宋" w:eastAsia="仿宋" w:cs="仿宋_GB2312"/>
          <w:color w:val="000000"/>
          <w:szCs w:val="30"/>
        </w:rPr>
        <w:t>。</w:t>
      </w:r>
    </w:p>
    <w:p>
      <w:pPr>
        <w:tabs>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（2）可行性研究报告。</w:t>
      </w:r>
      <w:r>
        <w:rPr>
          <w:rFonts w:hint="eastAsia" w:ascii="仿宋" w:hAnsi="仿宋" w:eastAsia="仿宋" w:cs="仿宋_GB2312"/>
          <w:color w:val="000000"/>
          <w:kern w:val="0"/>
          <w:szCs w:val="30"/>
        </w:rPr>
        <w:t>内容至少应包括申请人近2年的经营情况和财务、资金状况分析，已发行金融债券的兑付情况，本次发行金融债券的必要性和可行性分析，本次债券的发行方案、发债资金用途、债券发行中面临的风险及对策，债券偿付保障措施等。</w:t>
      </w:r>
    </w:p>
    <w:p>
      <w:pPr>
        <w:tabs>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（3）股东（大）会或董事会同意开办相关业务的决议。</w:t>
      </w:r>
    </w:p>
    <w:p>
      <w:pPr>
        <w:tabs>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（4）最近2个会计年度的审计报告。</w:t>
      </w:r>
    </w:p>
    <w:p>
      <w:pPr>
        <w:tabs>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（5）债券募集说明书。</w:t>
      </w:r>
    </w:p>
    <w:p>
      <w:pPr>
        <w:tabs>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（6）债券发行公告或发行章程。</w:t>
      </w:r>
    </w:p>
    <w:p>
      <w:pPr>
        <w:tabs>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（7）债券承销协议或意向书。</w:t>
      </w:r>
    </w:p>
    <w:p>
      <w:pPr>
        <w:tabs>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（8）发行人关于本期偿债计划和保障措施的专项报告。</w:t>
      </w:r>
    </w:p>
    <w:p>
      <w:pPr>
        <w:tabs>
          <w:tab w:val="left" w:pos="22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（9）信用评级机构出具的金融债券</w:t>
      </w:r>
      <w:r>
        <w:rPr>
          <w:rFonts w:hint="eastAsia" w:ascii="仿宋" w:hAnsi="仿宋" w:eastAsia="仿宋" w:cs="仿宋_GB2312"/>
          <w:color w:val="000000"/>
          <w:kern w:val="0"/>
          <w:szCs w:val="30"/>
        </w:rPr>
        <w:t>/次级债券</w:t>
      </w:r>
      <w:r>
        <w:rPr>
          <w:rFonts w:hint="eastAsia" w:ascii="仿宋" w:hAnsi="仿宋" w:eastAsia="仿宋" w:cs="仿宋_GB2312"/>
          <w:color w:val="000000"/>
          <w:szCs w:val="30"/>
        </w:rPr>
        <w:t>信用评级报告和有关持续跟踪评级安排的说明。</w:t>
      </w:r>
    </w:p>
    <w:p>
      <w:pPr>
        <w:tabs>
          <w:tab w:val="left" w:pos="84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（10）采用担保方式发行债券的，还应提供担保协议及担保人资信情况说明。</w:t>
      </w:r>
    </w:p>
    <w:p>
      <w:pPr>
        <w:tabs>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（11）拟开办业务的操作规程、内部控制及风险管理制度和管理信息系统建设及运行情况说明。</w:t>
      </w:r>
    </w:p>
    <w:p>
      <w:pPr>
        <w:tabs>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（12）拟从事相关业务的人员名单及简历。</w:t>
      </w:r>
    </w:p>
    <w:p>
      <w:pPr>
        <w:tabs>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（13）申请人符合审慎监管指标的情况说明，以及发债后符合监管指标的情况测算。</w:t>
      </w:r>
    </w:p>
    <w:p>
      <w:pPr>
        <w:tabs>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（14）最近2年内所受各类司法、行政处罚情况说明，若未受处罚则作出声明。</w:t>
      </w:r>
    </w:p>
    <w:p>
      <w:pPr>
        <w:tabs>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（15）律师事务所出具的法律意见书。</w:t>
      </w:r>
    </w:p>
    <w:p>
      <w:pPr>
        <w:tabs>
          <w:tab w:val="left" w:pos="1080"/>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（16）银监会按照审慎性原则规定的其他文件。</w:t>
      </w:r>
    </w:p>
    <w:p>
      <w:pPr>
        <w:pStyle w:val="5"/>
        <w:spacing w:before="0" w:beforeAutospacing="0" w:after="0" w:afterAutospacing="0" w:line="312" w:lineRule="auto"/>
        <w:rPr>
          <w:rFonts w:hint="eastAsia" w:ascii="仿宋" w:hAnsi="仿宋" w:eastAsia="仿宋" w:cs="仿宋_GB2312"/>
          <w:sz w:val="21"/>
          <w:szCs w:val="30"/>
        </w:rPr>
      </w:pPr>
      <w:bookmarkStart w:id="1417" w:name="_Toc10944"/>
      <w:bookmarkStart w:id="1418" w:name="_Toc181088012"/>
      <w:bookmarkStart w:id="1419" w:name="_Toc8199"/>
      <w:bookmarkStart w:id="1420" w:name="_Toc10763"/>
      <w:bookmarkStart w:id="1421" w:name="_Toc8456"/>
      <w:bookmarkStart w:id="1422" w:name="_Toc12335"/>
      <w:bookmarkStart w:id="1423" w:name="_Toc32328"/>
      <w:bookmarkStart w:id="1424" w:name="_Toc17032"/>
      <w:bookmarkStart w:id="1425" w:name="_Toc23649"/>
      <w:bookmarkStart w:id="1426" w:name="_Toc3642"/>
      <w:bookmarkStart w:id="1427" w:name="_Toc32336"/>
      <w:bookmarkStart w:id="1428" w:name="_Toc421891333"/>
      <w:bookmarkStart w:id="1429" w:name="_Toc786"/>
      <w:bookmarkStart w:id="1430" w:name="_Toc6418"/>
      <w:bookmarkStart w:id="1431" w:name="_Toc5478"/>
      <w:r>
        <w:rPr>
          <w:rFonts w:hint="eastAsia" w:ascii="仿宋" w:hAnsi="仿宋" w:eastAsia="仿宋" w:cs="仿宋_GB2312"/>
          <w:sz w:val="21"/>
          <w:szCs w:val="30"/>
        </w:rPr>
        <w:t>（六）开办其他新业务</w:t>
      </w:r>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p>
    <w:p>
      <w:pPr>
        <w:adjustRightInd w:val="0"/>
        <w:snapToGrid w:val="0"/>
        <w:spacing w:line="312" w:lineRule="auto"/>
        <w:ind w:firstLine="422" w:firstLineChars="200"/>
        <w:outlineLvl w:val="4"/>
        <w:rPr>
          <w:rFonts w:hint="eastAsia" w:ascii="仿宋" w:hAnsi="仿宋" w:eastAsia="仿宋" w:cs="仿宋_GB2312"/>
          <w:b/>
          <w:color w:val="000000"/>
          <w:szCs w:val="30"/>
        </w:rPr>
      </w:pPr>
      <w:r>
        <w:rPr>
          <w:rFonts w:hint="eastAsia" w:ascii="仿宋" w:hAnsi="仿宋" w:eastAsia="仿宋" w:cs="仿宋_GB2312"/>
          <w:b/>
          <w:color w:val="000000"/>
          <w:szCs w:val="30"/>
        </w:rPr>
        <w:t>4.6信托公司开办其他新业务审批</w:t>
      </w:r>
    </w:p>
    <w:p>
      <w:pPr>
        <w:pStyle w:val="37"/>
        <w:adjustRightInd w:val="0"/>
        <w:snapToGrid w:val="0"/>
        <w:spacing w:line="312" w:lineRule="auto"/>
        <w:ind w:firstLine="422" w:firstLineChars="200"/>
        <w:rPr>
          <w:rFonts w:hint="eastAsia" w:ascii="仿宋" w:hAnsi="仿宋" w:eastAsia="仿宋" w:cs="仿宋_GB2312"/>
          <w:b/>
          <w:bCs/>
          <w:color w:val="000000"/>
          <w:sz w:val="21"/>
          <w:szCs w:val="30"/>
        </w:rPr>
      </w:pPr>
      <w:r>
        <w:rPr>
          <w:rFonts w:hint="eastAsia" w:ascii="仿宋" w:hAnsi="仿宋" w:eastAsia="仿宋" w:cs="仿宋_GB2312"/>
          <w:b/>
          <w:bCs/>
          <w:color w:val="000000"/>
          <w:sz w:val="21"/>
          <w:szCs w:val="30"/>
        </w:rPr>
        <w:t>申请材料目录：</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（1）申请书</w:t>
      </w:r>
      <w:r>
        <w:rPr>
          <w:rFonts w:hint="eastAsia" w:ascii="仿宋" w:hAnsi="仿宋" w:eastAsia="仿宋" w:cs="仿宋_GB2312"/>
          <w:color w:val="000000"/>
          <w:szCs w:val="30"/>
        </w:rPr>
        <w:t>。内容至少包含</w:t>
      </w:r>
      <w:r>
        <w:rPr>
          <w:rFonts w:hint="eastAsia" w:ascii="仿宋" w:hAnsi="仿宋" w:eastAsia="仿宋" w:cs="仿宋_GB2312"/>
          <w:color w:val="000000"/>
          <w:kern w:val="0"/>
          <w:szCs w:val="30"/>
        </w:rPr>
        <w:t>申请人基本情况、</w:t>
      </w:r>
      <w:r>
        <w:rPr>
          <w:rFonts w:hint="eastAsia" w:ascii="仿宋" w:hAnsi="仿宋" w:eastAsia="仿宋" w:cs="仿宋_GB2312"/>
          <w:color w:val="000000"/>
          <w:szCs w:val="30"/>
        </w:rPr>
        <w:t>各项风险监管指标情况</w:t>
      </w:r>
      <w:r>
        <w:rPr>
          <w:rFonts w:hint="eastAsia" w:ascii="仿宋" w:hAnsi="仿宋" w:eastAsia="仿宋" w:cs="仿宋_GB2312"/>
          <w:color w:val="000000"/>
          <w:kern w:val="0"/>
          <w:szCs w:val="30"/>
        </w:rPr>
        <w:t>及</w:t>
      </w:r>
      <w:r>
        <w:rPr>
          <w:rFonts w:hint="eastAsia" w:ascii="仿宋" w:hAnsi="仿宋" w:eastAsia="仿宋" w:cs="仿宋_GB2312"/>
          <w:color w:val="000000"/>
          <w:szCs w:val="30"/>
        </w:rPr>
        <w:t>申请的理由</w:t>
      </w:r>
      <w:r>
        <w:rPr>
          <w:rFonts w:hint="eastAsia" w:ascii="仿宋" w:hAnsi="仿宋" w:eastAsia="仿宋" w:cs="仿宋_GB2312"/>
          <w:color w:val="000000"/>
          <w:kern w:val="0"/>
          <w:szCs w:val="30"/>
        </w:rPr>
        <w:t>。</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（2）可行性研究报告。报告至少应包含以下内容：拟开办新业务的内容，必要性、可行性分析，业务发展规划，风险特征和风险控制措施，管理信息系统准备情况，收益预测及具体人员配备及分工情况。</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（3）股东（大）会或董事会同意开办新业务的决议。</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（4）新业务的操作规程，内控及风险管理制度。</w:t>
      </w:r>
    </w:p>
    <w:p>
      <w:pPr>
        <w:adjustRightInd w:val="0"/>
        <w:snapToGrid w:val="0"/>
        <w:spacing w:line="312" w:lineRule="auto"/>
        <w:ind w:left="1"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（5）新业务管理人员、业务人员配备情况和简历。</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（6）最近2个会计年度的审计报告。</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kern w:val="0"/>
          <w:szCs w:val="30"/>
        </w:rPr>
        <w:t>（7）申请人</w:t>
      </w:r>
      <w:r>
        <w:rPr>
          <w:rFonts w:hint="eastAsia" w:ascii="仿宋" w:hAnsi="仿宋" w:eastAsia="仿宋" w:cs="仿宋_GB2312"/>
          <w:color w:val="000000"/>
          <w:szCs w:val="30"/>
        </w:rPr>
        <w:t>最近2年内所受各类司法、行政处罚情况说明，若未受处罚则作出声明。</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kern w:val="0"/>
          <w:szCs w:val="30"/>
        </w:rPr>
        <w:t>（8）</w:t>
      </w:r>
      <w:r>
        <w:rPr>
          <w:rFonts w:hint="eastAsia" w:ascii="仿宋" w:hAnsi="仿宋" w:eastAsia="仿宋" w:cs="仿宋_GB2312"/>
          <w:color w:val="000000"/>
          <w:szCs w:val="30"/>
        </w:rPr>
        <w:t>申请人</w:t>
      </w:r>
      <w:r>
        <w:rPr>
          <w:rFonts w:hint="eastAsia" w:ascii="仿宋" w:hAnsi="仿宋" w:eastAsia="仿宋" w:cs="仿宋_GB2312"/>
          <w:color w:val="000000"/>
          <w:kern w:val="0"/>
          <w:szCs w:val="30"/>
        </w:rPr>
        <w:t>符合审慎监管指标的情况说明。</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kern w:val="0"/>
          <w:szCs w:val="30"/>
        </w:rPr>
        <w:t>（9）</w:t>
      </w:r>
      <w:r>
        <w:rPr>
          <w:rFonts w:hint="eastAsia" w:ascii="仿宋" w:hAnsi="仿宋" w:eastAsia="仿宋" w:cs="仿宋_GB2312"/>
          <w:color w:val="000000"/>
          <w:szCs w:val="30"/>
        </w:rPr>
        <w:t>银监会按照审慎性原则规定的其他文件。</w:t>
      </w:r>
      <w:bookmarkStart w:id="1432" w:name="_Toc81194023"/>
      <w:bookmarkStart w:id="1433" w:name="_Toc77782684"/>
      <w:bookmarkStart w:id="1434" w:name="_Toc31206"/>
      <w:bookmarkStart w:id="1435" w:name="_Toc5438"/>
      <w:bookmarkStart w:id="1436" w:name="_Toc1019"/>
      <w:bookmarkStart w:id="1437" w:name="_Toc181088013"/>
      <w:bookmarkStart w:id="1438" w:name="_Toc19951"/>
      <w:bookmarkStart w:id="1439" w:name="_Toc29821"/>
      <w:bookmarkStart w:id="1440" w:name="_Toc26499"/>
      <w:bookmarkStart w:id="1441" w:name="_Toc343"/>
      <w:bookmarkStart w:id="1442" w:name="_Toc27057"/>
      <w:bookmarkStart w:id="1443" w:name="_Toc32044"/>
      <w:bookmarkStart w:id="1444" w:name="_Toc421891334"/>
      <w:bookmarkStart w:id="1445" w:name="_Toc2795"/>
      <w:bookmarkStart w:id="1446" w:name="_Toc31111"/>
      <w:bookmarkStart w:id="1447" w:name="_Toc24068"/>
      <w:bookmarkStart w:id="1448" w:name="_Toc7071"/>
    </w:p>
    <w:p>
      <w:pPr>
        <w:pStyle w:val="4"/>
        <w:spacing w:before="0" w:after="0" w:line="312" w:lineRule="auto"/>
        <w:rPr>
          <w:rFonts w:hint="eastAsia" w:ascii="仿宋" w:hAnsi="仿宋" w:eastAsia="仿宋" w:cs="仿宋_GB2312"/>
          <w:bCs w:val="0"/>
          <w:color w:val="000000"/>
          <w:sz w:val="21"/>
          <w:szCs w:val="30"/>
        </w:rPr>
      </w:pPr>
      <w:bookmarkStart w:id="1449" w:name="_Toc518836341"/>
      <w:r>
        <w:rPr>
          <w:rFonts w:hint="eastAsia" w:ascii="仿宋" w:hAnsi="仿宋" w:eastAsia="仿宋" w:cs="仿宋_GB2312"/>
          <w:bCs w:val="0"/>
          <w:color w:val="000000"/>
          <w:sz w:val="21"/>
          <w:szCs w:val="30"/>
        </w:rPr>
        <w:t>五、董事和高级管理人员任职资格</w:t>
      </w:r>
      <w:bookmarkEnd w:id="1432"/>
      <w:bookmarkEnd w:id="1433"/>
      <w:bookmarkStart w:id="1450" w:name="_Toc81194025"/>
      <w:bookmarkStart w:id="1451" w:name="_Toc77782686"/>
      <w:r>
        <w:rPr>
          <w:rFonts w:hint="eastAsia" w:ascii="仿宋" w:hAnsi="仿宋" w:eastAsia="仿宋" w:cs="仿宋_GB2312"/>
          <w:bCs w:val="0"/>
          <w:color w:val="000000"/>
          <w:sz w:val="21"/>
          <w:szCs w:val="30"/>
        </w:rPr>
        <w:t>核准</w:t>
      </w:r>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p>
    <w:p>
      <w:pPr>
        <w:adjustRightInd w:val="0"/>
        <w:snapToGrid w:val="0"/>
        <w:spacing w:line="312" w:lineRule="auto"/>
        <w:ind w:firstLine="422" w:firstLineChars="200"/>
        <w:outlineLvl w:val="4"/>
        <w:rPr>
          <w:rFonts w:hint="eastAsia" w:ascii="仿宋" w:hAnsi="仿宋" w:eastAsia="仿宋" w:cs="仿宋_GB2312"/>
          <w:b/>
          <w:color w:val="000000"/>
          <w:szCs w:val="30"/>
        </w:rPr>
      </w:pPr>
      <w:r>
        <w:rPr>
          <w:rFonts w:hint="eastAsia" w:ascii="仿宋" w:hAnsi="仿宋" w:eastAsia="仿宋" w:cs="仿宋_GB2312"/>
          <w:b/>
          <w:color w:val="000000"/>
          <w:szCs w:val="30"/>
        </w:rPr>
        <w:t>5.1</w:t>
      </w:r>
      <w:bookmarkEnd w:id="1450"/>
      <w:bookmarkEnd w:id="1451"/>
      <w:r>
        <w:rPr>
          <w:rFonts w:hint="eastAsia" w:ascii="仿宋" w:hAnsi="仿宋" w:eastAsia="仿宋" w:cs="仿宋_GB2312"/>
          <w:b/>
          <w:color w:val="000000"/>
          <w:szCs w:val="30"/>
        </w:rPr>
        <w:t>信托公司董事和高级管理人员任职资格核准</w:t>
      </w:r>
    </w:p>
    <w:p>
      <w:pPr>
        <w:adjustRightInd w:val="0"/>
        <w:snapToGrid w:val="0"/>
        <w:spacing w:line="312" w:lineRule="auto"/>
        <w:ind w:firstLine="422" w:firstLineChars="200"/>
        <w:rPr>
          <w:rFonts w:hint="eastAsia" w:ascii="仿宋" w:hAnsi="仿宋" w:eastAsia="仿宋" w:cs="仿宋_GB2312"/>
          <w:b/>
          <w:color w:val="000000"/>
          <w:szCs w:val="30"/>
        </w:rPr>
      </w:pPr>
      <w:r>
        <w:rPr>
          <w:rFonts w:hint="eastAsia" w:ascii="仿宋" w:hAnsi="仿宋" w:eastAsia="仿宋" w:cs="仿宋_GB2312"/>
          <w:b/>
          <w:color w:val="000000"/>
          <w:szCs w:val="30"/>
        </w:rPr>
        <w:t>申请材料目录：</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（1）申请书。内容至少包含拟任人拟任职务、职责范围、权限及该职务在本公司组织架构中的位置。</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（2）任职资格申请表（见附件）。</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（3）有权决定机构关于董事、高级管理人员拟任职决议（需列明“拟任人任职资格经监管部门核准后生效”）。</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kern w:val="0"/>
          <w:szCs w:val="30"/>
        </w:rPr>
        <w:t>（4）</w:t>
      </w:r>
      <w:r>
        <w:rPr>
          <w:rFonts w:hint="eastAsia" w:ascii="仿宋" w:hAnsi="仿宋" w:eastAsia="仿宋" w:cs="仿宋_GB2312"/>
          <w:color w:val="000000"/>
          <w:szCs w:val="30"/>
        </w:rPr>
        <w:t>申请人关于拟任人符合相应任职资格条件的考察报告，内容包含对每一类任职资格条件采用的考察方式、获得的证据和结论，拟任人的品行、业务能力、管理能力、工作业绩、不足之处等方面的综合评价。</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5）拟任人身份证件复印件、所获得的最高学历、学位证明复印件及专业资格证书复印件，参加相关培训的书面证明（如有）。如涉及国外（包括港澳台）学位（学历）的，需提交经中国教育部相关部门学历认证的证明材料。</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（6）拟任人未来履职计划。</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（7）拟任人无不良记录声明、不存在任何不符合任职资格条件情形的书面声明。</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（8）拟任人的个人承诺书，内容包括：</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①不存在未按时清偿的个人债务（同时提供个人征信记录）；</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②将诚信、尽责履职；</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③将遵守监管规定、服从银监会的监管。</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kern w:val="0"/>
          <w:szCs w:val="30"/>
        </w:rPr>
        <w:t>（9）拟任人曾任金融机构董事长（理事长）或高级管理人员的，还应提交最近职务的</w:t>
      </w:r>
      <w:r>
        <w:rPr>
          <w:rFonts w:hint="eastAsia" w:ascii="仿宋" w:hAnsi="仿宋" w:eastAsia="仿宋" w:cs="仿宋_GB2312"/>
          <w:color w:val="000000"/>
          <w:szCs w:val="30"/>
        </w:rPr>
        <w:t>离任审计报告或经济责任审计报告。</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szCs w:val="30"/>
        </w:rPr>
        <w:t>（10）申请人组织结构图，并说明体现拟任</w:t>
      </w:r>
      <w:r>
        <w:rPr>
          <w:rFonts w:hint="eastAsia" w:ascii="仿宋" w:hAnsi="仿宋" w:eastAsia="仿宋" w:cs="仿宋_GB2312"/>
          <w:color w:val="000000"/>
          <w:kern w:val="0"/>
          <w:szCs w:val="30"/>
        </w:rPr>
        <w:t>职务在本公司组织架构中的位置，以及汇报路线。</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kern w:val="0"/>
          <w:szCs w:val="30"/>
        </w:rPr>
        <w:t>（11）</w:t>
      </w:r>
      <w:r>
        <w:rPr>
          <w:rFonts w:hint="eastAsia" w:ascii="仿宋" w:hAnsi="仿宋" w:eastAsia="仿宋" w:cs="仿宋_GB2312"/>
          <w:color w:val="000000"/>
          <w:szCs w:val="30"/>
        </w:rPr>
        <w:t>银监会按照审慎性原则规定的其他文件。</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szCs w:val="30"/>
        </w:rPr>
        <w:t>上述（1）、（2）、（4）、（10）应由申请人的法定代表人签名或</w:t>
      </w:r>
      <w:r>
        <w:rPr>
          <w:rFonts w:hint="eastAsia" w:ascii="仿宋" w:hAnsi="仿宋" w:eastAsia="仿宋" w:cs="仿宋_GB2312"/>
          <w:color w:val="000000"/>
          <w:szCs w:val="30"/>
        </w:rPr>
        <w:t>盖单位公章</w:t>
      </w:r>
      <w:r>
        <w:rPr>
          <w:rFonts w:hint="eastAsia" w:ascii="仿宋" w:hAnsi="仿宋" w:eastAsia="仿宋" w:cs="仿宋_GB2312"/>
          <w:szCs w:val="30"/>
        </w:rPr>
        <w:t>；</w:t>
      </w:r>
      <w:r>
        <w:rPr>
          <w:rFonts w:hint="eastAsia" w:ascii="仿宋" w:hAnsi="仿宋" w:eastAsia="仿宋" w:cs="仿宋_GB2312"/>
          <w:color w:val="000000"/>
          <w:szCs w:val="30"/>
        </w:rPr>
        <w:t>（5）应加盖申请人单位公章或人事部门章，并注明与原件相符；（6）、（7）、（8）应由拟任人签名确认。</w:t>
      </w:r>
    </w:p>
    <w:p>
      <w:pPr>
        <w:adjustRightInd w:val="0"/>
        <w:snapToGrid w:val="0"/>
        <w:spacing w:line="312" w:lineRule="auto"/>
        <w:ind w:firstLine="422" w:firstLineChars="200"/>
        <w:rPr>
          <w:rFonts w:hint="eastAsia" w:ascii="仿宋" w:hAnsi="仿宋" w:eastAsia="仿宋" w:cs="仿宋_GB2312"/>
          <w:b/>
          <w:color w:val="000000"/>
          <w:szCs w:val="30"/>
        </w:rPr>
      </w:pPr>
      <w:r>
        <w:rPr>
          <w:rFonts w:hint="eastAsia" w:ascii="仿宋" w:hAnsi="仿宋" w:eastAsia="仿宋" w:cs="仿宋_GB2312"/>
          <w:b/>
          <w:color w:val="000000"/>
          <w:szCs w:val="30"/>
        </w:rPr>
        <w:t>信托公司董事和高级管理人员任职资格核准后续事项报告材料目录：</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信托公司对高级管理人员的正式任命文件或聘书复印件。</w:t>
      </w:r>
    </w:p>
    <w:p>
      <w:pPr>
        <w:adjustRightInd w:val="0"/>
        <w:snapToGrid w:val="0"/>
        <w:spacing w:line="312" w:lineRule="auto"/>
        <w:ind w:firstLine="422" w:firstLineChars="200"/>
        <w:rPr>
          <w:rFonts w:hint="eastAsia" w:ascii="仿宋" w:hAnsi="仿宋" w:eastAsia="仿宋" w:cs="仿宋_GB2312"/>
          <w:b/>
          <w:color w:val="000000"/>
          <w:szCs w:val="30"/>
        </w:rPr>
      </w:pPr>
      <w:r>
        <w:rPr>
          <w:rFonts w:hint="eastAsia" w:ascii="仿宋" w:hAnsi="仿宋" w:eastAsia="仿宋" w:cs="仿宋_GB2312"/>
          <w:b/>
          <w:color w:val="000000"/>
          <w:szCs w:val="30"/>
        </w:rPr>
        <w:t>信托公司董事长和总经理代为履职采用报告制。</w:t>
      </w:r>
    </w:p>
    <w:p>
      <w:pPr>
        <w:adjustRightInd w:val="0"/>
        <w:snapToGrid w:val="0"/>
        <w:spacing w:line="312" w:lineRule="auto"/>
        <w:ind w:firstLine="422" w:firstLineChars="200"/>
        <w:rPr>
          <w:rFonts w:hint="eastAsia" w:ascii="仿宋" w:hAnsi="仿宋" w:eastAsia="仿宋" w:cs="仿宋_GB2312"/>
          <w:b/>
          <w:color w:val="000000"/>
          <w:szCs w:val="30"/>
        </w:rPr>
      </w:pPr>
      <w:r>
        <w:rPr>
          <w:rFonts w:hint="eastAsia" w:ascii="仿宋" w:hAnsi="仿宋" w:eastAsia="仿宋" w:cs="仿宋_GB2312"/>
          <w:b/>
          <w:color w:val="000000"/>
          <w:szCs w:val="30"/>
        </w:rPr>
        <w:t>报告材料目录：</w:t>
      </w:r>
    </w:p>
    <w:p>
      <w:pPr>
        <w:adjustRightInd w:val="0"/>
        <w:snapToGrid w:val="0"/>
        <w:spacing w:line="312" w:lineRule="auto"/>
        <w:ind w:firstLine="420" w:firstLineChars="200"/>
        <w:rPr>
          <w:rFonts w:hint="eastAsia" w:ascii="仿宋" w:hAnsi="仿宋" w:eastAsia="仿宋" w:cs="仿宋_GB2312"/>
          <w:bCs/>
          <w:color w:val="FF0000"/>
          <w:szCs w:val="30"/>
        </w:rPr>
      </w:pPr>
      <w:r>
        <w:rPr>
          <w:rFonts w:hint="eastAsia" w:ascii="仿宋" w:hAnsi="仿宋" w:eastAsia="仿宋" w:cs="仿宋_GB2312"/>
          <w:color w:val="000000"/>
          <w:szCs w:val="30"/>
        </w:rPr>
        <w:t>（1）代为履职的报告。应简要介绍代为履职人员的基本情况及符合任职资格条件的情况，代为履职的原因、时间。</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（2）对代为履职人员的品行、业务能力、管理能力、工作业绩、不足之处等方面的考察报告（应</w:t>
      </w:r>
      <w:r>
        <w:rPr>
          <w:rFonts w:hint="eastAsia" w:ascii="仿宋" w:hAnsi="仿宋" w:eastAsia="仿宋" w:cs="仿宋_GB2312"/>
          <w:szCs w:val="30"/>
        </w:rPr>
        <w:t>由申请人的法定代表人签名或盖公章</w:t>
      </w:r>
      <w:r>
        <w:rPr>
          <w:rFonts w:hint="eastAsia" w:ascii="仿宋" w:hAnsi="仿宋" w:eastAsia="仿宋" w:cs="仿宋_GB2312"/>
          <w:color w:val="000000"/>
          <w:szCs w:val="30"/>
        </w:rPr>
        <w:t>）。</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（3）有权决定该人选代为履职的相关决议。</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4）代为履职人员身份证件复印件和所获得的最高学历、学位、专业资格证书复印件。如涉及国外（包括港澳台）学位（学历）的，需提交经中国教育部相关部门学历认证的证明材料。复印件应加盖申请人单位公章或人事部门章，并注明与原件相符。</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（5）代为履职人员的个人承诺书，内容包括：</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①不存在未按时清偿的个人债务（同时提供个人征信记录）；</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②将诚信、尽责履职；</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③将遵守监管规定、服从银监会的监管。</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（6）银监会按照审慎性原则规定的其他文件。</w:t>
      </w:r>
      <w:bookmarkStart w:id="1452" w:name="_Toc181088014"/>
      <w:bookmarkStart w:id="1453" w:name="_Toc77782690"/>
      <w:bookmarkStart w:id="1454" w:name="_Toc81194029"/>
    </w:p>
    <w:p>
      <w:pPr>
        <w:pStyle w:val="4"/>
        <w:spacing w:before="0" w:after="0" w:line="312" w:lineRule="auto"/>
        <w:rPr>
          <w:rFonts w:hint="eastAsia" w:ascii="仿宋" w:hAnsi="仿宋" w:eastAsia="仿宋" w:cs="仿宋_GB2312"/>
          <w:b w:val="0"/>
          <w:bCs w:val="0"/>
          <w:color w:val="000000"/>
          <w:sz w:val="21"/>
          <w:szCs w:val="30"/>
        </w:rPr>
      </w:pPr>
      <w:bookmarkStart w:id="1455" w:name="_Toc774"/>
      <w:bookmarkStart w:id="1456" w:name="_Toc16294"/>
      <w:bookmarkStart w:id="1457" w:name="_Toc23428"/>
      <w:bookmarkStart w:id="1458" w:name="_Toc421891335"/>
      <w:bookmarkStart w:id="1459" w:name="_Toc6740"/>
      <w:bookmarkStart w:id="1460" w:name="_Toc5972"/>
      <w:bookmarkStart w:id="1461" w:name="_Toc15137"/>
      <w:bookmarkStart w:id="1462" w:name="_Toc518836342"/>
      <w:bookmarkStart w:id="1463" w:name="_Toc19209"/>
      <w:bookmarkStart w:id="1464" w:name="_Toc10825"/>
      <w:bookmarkStart w:id="1465" w:name="_Toc7947"/>
      <w:bookmarkStart w:id="1466" w:name="_Toc20859"/>
      <w:bookmarkStart w:id="1467" w:name="_Toc19353"/>
      <w:bookmarkStart w:id="1468" w:name="_Toc7491"/>
      <w:bookmarkStart w:id="1469" w:name="_Toc18963"/>
      <w:r>
        <w:rPr>
          <w:rFonts w:hint="eastAsia" w:ascii="仿宋" w:hAnsi="仿宋" w:eastAsia="仿宋" w:cs="仿宋_GB2312"/>
          <w:b w:val="0"/>
          <w:bCs w:val="0"/>
          <w:color w:val="000000"/>
          <w:sz w:val="21"/>
          <w:szCs w:val="30"/>
        </w:rPr>
        <w:t>六、申请材料格式要求</w:t>
      </w:r>
      <w:bookmarkEnd w:id="1452"/>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p>
    <w:p>
      <w:pPr>
        <w:pStyle w:val="17"/>
        <w:adjustRightInd w:val="0"/>
        <w:snapToGrid w:val="0"/>
        <w:spacing w:after="0" w:line="312" w:lineRule="auto"/>
        <w:ind w:left="2" w:leftChars="1" w:firstLine="422" w:firstLineChars="200"/>
        <w:rPr>
          <w:rFonts w:hint="eastAsia" w:ascii="仿宋" w:hAnsi="仿宋" w:eastAsia="仿宋" w:cs="仿宋_GB2312"/>
          <w:b/>
          <w:szCs w:val="30"/>
        </w:rPr>
      </w:pPr>
      <w:r>
        <w:rPr>
          <w:rFonts w:hint="eastAsia" w:ascii="仿宋" w:hAnsi="仿宋" w:eastAsia="仿宋" w:cs="仿宋_GB2312"/>
          <w:b/>
          <w:color w:val="000000"/>
          <w:szCs w:val="30"/>
        </w:rPr>
        <w:t>行政许可事项申请材料应同时向银监会或其派出机构报送电子文档和纸质材料。</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申请人提供的申请材料内容应当真实、准确，申请材料包含复印件的，应在复印件上加盖公章，并注明与原件一致；此外，申请人应对每项行政许可事项的申请材料内容做出“相关数据真实、复印件均与原件一致的”声明。</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无法完整提供规定材料要件的，申请人应提前与监管机构进行沟通，并作出书面说明，由相关负责人签字，不得自行随意省减。</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境外金融机构提交的营业执照复印件、经营金融业务许可文件复印件、授权书、责任保证书，应当经所在国家或者地区认可的机构公证，并且经中国驻该国使馆、领馆认证，但中国工商行政管理机关出具的营业执照复印件无须公证、中国境内公证机构出具的公证材料无须认证。银监会视情况需要，可以要求申请人报送的其他申请资料经所在国家或者地区认可的机构公证，并且经中国驻该国使馆、领馆认证。</w:t>
      </w:r>
    </w:p>
    <w:p>
      <w:pPr>
        <w:pStyle w:val="5"/>
        <w:spacing w:before="0" w:beforeAutospacing="0" w:after="0" w:afterAutospacing="0" w:line="312" w:lineRule="auto"/>
        <w:rPr>
          <w:rFonts w:hint="eastAsia" w:ascii="仿宋" w:hAnsi="仿宋" w:eastAsia="仿宋" w:cs="仿宋_GB2312"/>
          <w:sz w:val="21"/>
          <w:szCs w:val="30"/>
        </w:rPr>
      </w:pPr>
      <w:bookmarkStart w:id="1470" w:name="_Toc3505"/>
      <w:bookmarkStart w:id="1471" w:name="_Toc25369"/>
      <w:bookmarkStart w:id="1472" w:name="_Toc4440"/>
      <w:bookmarkStart w:id="1473" w:name="_Toc421891336"/>
      <w:bookmarkStart w:id="1474" w:name="_Toc17257"/>
      <w:bookmarkStart w:id="1475" w:name="_Toc5643"/>
      <w:bookmarkStart w:id="1476" w:name="_Toc165"/>
      <w:bookmarkStart w:id="1477" w:name="_Toc30211"/>
      <w:bookmarkStart w:id="1478" w:name="_Toc13618"/>
      <w:bookmarkStart w:id="1479" w:name="_Toc15074"/>
      <w:r>
        <w:rPr>
          <w:rFonts w:hint="eastAsia" w:ascii="仿宋" w:hAnsi="仿宋" w:eastAsia="仿宋" w:cs="仿宋_GB2312"/>
          <w:sz w:val="21"/>
          <w:szCs w:val="30"/>
        </w:rPr>
        <w:t>（一）电子文档报送内容及格式要求</w:t>
      </w:r>
      <w:bookmarkEnd w:id="1470"/>
      <w:bookmarkEnd w:id="1471"/>
      <w:bookmarkEnd w:id="1472"/>
      <w:bookmarkEnd w:id="1473"/>
      <w:bookmarkEnd w:id="1474"/>
      <w:bookmarkEnd w:id="1475"/>
      <w:bookmarkEnd w:id="1476"/>
      <w:bookmarkEnd w:id="1477"/>
      <w:bookmarkEnd w:id="1478"/>
      <w:bookmarkEnd w:id="1479"/>
      <w:r>
        <w:rPr>
          <w:rFonts w:hint="eastAsia" w:ascii="仿宋" w:hAnsi="仿宋" w:eastAsia="仿宋" w:cs="仿宋_GB2312"/>
          <w:sz w:val="21"/>
          <w:szCs w:val="30"/>
        </w:rPr>
        <w:t>:</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电子文档报送的内容包括两部分内容：</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1.全部申请材料正本的电子扫描件光盘2张（PDF格式文件）。</w:t>
      </w:r>
    </w:p>
    <w:p>
      <w:pPr>
        <w:adjustRightInd w:val="0"/>
        <w:snapToGrid w:val="0"/>
        <w:spacing w:line="312" w:lineRule="auto"/>
        <w:ind w:firstLine="420" w:firstLineChars="200"/>
        <w:rPr>
          <w:rFonts w:hint="eastAsia" w:ascii="仿宋" w:hAnsi="仿宋" w:eastAsia="仿宋" w:cs="仿宋_GB2312"/>
          <w:color w:val="000000"/>
          <w:kern w:val="0"/>
          <w:szCs w:val="30"/>
        </w:rPr>
      </w:pPr>
      <w:r>
        <w:rPr>
          <w:rFonts w:hint="eastAsia" w:ascii="仿宋" w:hAnsi="仿宋" w:eastAsia="仿宋" w:cs="仿宋_GB2312"/>
          <w:color w:val="000000"/>
          <w:kern w:val="0"/>
          <w:szCs w:val="30"/>
        </w:rPr>
        <w:t>2.依照银监会下发的客户端程序填写行政许可事项的基本信息（客户端程序及使用说明可以从银监会官方网站的“政务公开——行政许可相关内容查询”栏目下下载）。以上电子文档以刻录光盘形式随纸质文件一同上报。</w:t>
      </w:r>
    </w:p>
    <w:p>
      <w:pPr>
        <w:pStyle w:val="5"/>
        <w:spacing w:before="0" w:beforeAutospacing="0" w:after="0" w:afterAutospacing="0" w:line="312" w:lineRule="auto"/>
        <w:rPr>
          <w:rFonts w:hint="eastAsia" w:ascii="仿宋" w:hAnsi="仿宋" w:eastAsia="仿宋" w:cs="仿宋_GB2312"/>
          <w:sz w:val="21"/>
          <w:szCs w:val="30"/>
        </w:rPr>
      </w:pPr>
      <w:bookmarkStart w:id="1480" w:name="_Toc15651"/>
      <w:bookmarkStart w:id="1481" w:name="_Toc421891337"/>
      <w:bookmarkStart w:id="1482" w:name="_Toc11331"/>
      <w:bookmarkStart w:id="1483" w:name="_Toc6550"/>
      <w:bookmarkStart w:id="1484" w:name="_Toc17698"/>
      <w:bookmarkStart w:id="1485" w:name="_Toc22085"/>
      <w:bookmarkStart w:id="1486" w:name="_Toc22985"/>
      <w:bookmarkStart w:id="1487" w:name="_Toc20257"/>
      <w:bookmarkStart w:id="1488" w:name="_Toc3288"/>
      <w:bookmarkStart w:id="1489" w:name="_Toc24300"/>
      <w:bookmarkStart w:id="1490" w:name="_Toc14588"/>
      <w:bookmarkStart w:id="1491" w:name="_Toc21576"/>
      <w:bookmarkStart w:id="1492" w:name="_Toc11852"/>
      <w:bookmarkStart w:id="1493" w:name="_Toc31177"/>
      <w:r>
        <w:rPr>
          <w:rFonts w:hint="eastAsia" w:ascii="仿宋" w:hAnsi="仿宋" w:eastAsia="仿宋" w:cs="仿宋_GB2312"/>
          <w:sz w:val="21"/>
          <w:szCs w:val="30"/>
        </w:rPr>
        <w:t>（二）纸质材料应符合的格式要求</w:t>
      </w:r>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r>
        <w:rPr>
          <w:rFonts w:hint="eastAsia" w:ascii="仿宋" w:hAnsi="仿宋" w:eastAsia="仿宋" w:cs="仿宋_GB2312"/>
          <w:sz w:val="21"/>
          <w:szCs w:val="30"/>
        </w:rPr>
        <w:t>:</w:t>
      </w:r>
    </w:p>
    <w:p>
      <w:pPr>
        <w:tabs>
          <w:tab w:val="left" w:pos="7455"/>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1．申请材料正本一份，由下级机构受理、报上级机关决定的，视情况另增加一至二份。</w:t>
      </w:r>
    </w:p>
    <w:p>
      <w:pPr>
        <w:tabs>
          <w:tab w:val="left" w:pos="7455"/>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2．申请材料的纸张应为标准A4纸张规格（需提供原件的历史文件除外）。</w:t>
      </w:r>
    </w:p>
    <w:p>
      <w:pPr>
        <w:tabs>
          <w:tab w:val="left" w:pos="7455"/>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3．申请材料均须用中文书写，且字体不小于五号。如需提供原件的历史文件是以外文书写的，应附中文译本，且以中文译本为准。</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4．申请材料应采用活页装订，且各部分之间应有明显的分隔标识，并与目录相符。</w:t>
      </w:r>
    </w:p>
    <w:p>
      <w:pPr>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5．申请书抬头应根据行政许可决定权限书写“中国银行业监督管理委员会”或“中国银行业监督管理委员会XXX监管局”或“中国银行业监督管理委员会XXX监管分局”。</w:t>
      </w:r>
    </w:p>
    <w:p>
      <w:pPr>
        <w:tabs>
          <w:tab w:val="left" w:pos="7455"/>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6．行政许可事项为下级机关受理、上级机关决定的，还应向受理机关单独提交受理申请书，受理申请书抬头应根据受理权限书写“中国银行业监督管理委员会XXX监管局”或“中国银行业监督管理委员会XXX监管分局”，简要说明申请事项。</w:t>
      </w:r>
    </w:p>
    <w:p>
      <w:pPr>
        <w:tabs>
          <w:tab w:val="left" w:pos="7455"/>
        </w:tabs>
        <w:adjustRightInd w:val="0"/>
        <w:snapToGrid w:val="0"/>
        <w:spacing w:line="312" w:lineRule="auto"/>
        <w:ind w:firstLine="420" w:firstLineChars="200"/>
        <w:rPr>
          <w:rFonts w:hint="eastAsia" w:ascii="仿宋" w:hAnsi="仿宋" w:eastAsia="仿宋" w:cs="仿宋_GB2312"/>
          <w:color w:val="000000"/>
          <w:szCs w:val="30"/>
        </w:rPr>
      </w:pPr>
      <w:r>
        <w:rPr>
          <w:rFonts w:hint="eastAsia" w:ascii="仿宋" w:hAnsi="仿宋" w:eastAsia="仿宋" w:cs="仿宋_GB2312"/>
          <w:color w:val="000000"/>
          <w:szCs w:val="30"/>
        </w:rPr>
        <w:t>7．申请书中提及的“申请人基本情况”应至少包含：成立时间、注册资本、主营业务及其他业务经营情况、经营数据、各项业务指标、风险管理及内控情况等。申请书应由申请人法定代表人签署并加盖单位公章（除特殊说明外），同时，写明申请人的联系人姓名、办公电话、传真电话、手机号码、机构通讯地址和邮编、电子邮箱等，并附申请资料清单。</w:t>
      </w:r>
    </w:p>
    <w:p>
      <w:pPr>
        <w:pStyle w:val="33"/>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8．审计报告内容应包含正文、被审计单位自身及合并口径的财务报表和报表附注、会计师事务所的营业执照、执业证书复印件和签字的注册会计师资格证书复印件。审计报告、年报中出现“无保留意见”以外的任何审计意见，申请人应对其作出书面说明。</w:t>
      </w:r>
    </w:p>
    <w:p>
      <w:pPr>
        <w:pStyle w:val="33"/>
        <w:adjustRightInd w:val="0"/>
        <w:snapToGrid w:val="0"/>
        <w:spacing w:before="0" w:beforeAutospacing="0" w:after="0" w:afterAutospacing="0" w:line="312" w:lineRule="auto"/>
        <w:ind w:firstLine="420" w:firstLineChars="200"/>
        <w:rPr>
          <w:rFonts w:hint="eastAsia" w:ascii="仿宋" w:hAnsi="仿宋" w:eastAsia="仿宋" w:cs="仿宋_GB2312"/>
          <w:sz w:val="21"/>
          <w:szCs w:val="30"/>
        </w:rPr>
      </w:pPr>
      <w:r>
        <w:rPr>
          <w:rFonts w:hint="eastAsia" w:ascii="仿宋" w:hAnsi="仿宋" w:eastAsia="仿宋" w:cs="仿宋_GB2312"/>
          <w:sz w:val="21"/>
          <w:szCs w:val="30"/>
        </w:rPr>
        <w:t>9．出资人近2年资信存在不良记录的，申请人应作出书面说明。</w:t>
      </w:r>
      <w:bookmarkEnd w:id="1453"/>
      <w:bookmarkEnd w:id="1454"/>
    </w:p>
    <w:p>
      <w:pPr>
        <w:adjustRightInd w:val="0"/>
        <w:snapToGrid w:val="0"/>
        <w:spacing w:line="312" w:lineRule="auto"/>
        <w:ind w:firstLine="422" w:firstLineChars="200"/>
        <w:rPr>
          <w:rFonts w:hint="eastAsia" w:ascii="仿宋" w:hAnsi="仿宋" w:eastAsia="仿宋"/>
          <w:b/>
          <w:color w:val="000000"/>
          <w:szCs w:val="32"/>
        </w:rPr>
      </w:pPr>
      <w:r>
        <w:rPr>
          <w:rFonts w:hint="eastAsia" w:ascii="仿宋" w:hAnsi="仿宋" w:eastAsia="仿宋" w:cs="黑体"/>
          <w:b/>
          <w:bCs/>
          <w:szCs w:val="32"/>
        </w:rPr>
        <w:t>附件：</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信托公司董事、高级管理人员任职资格申请表</w:t>
      </w:r>
    </w:p>
    <w:tbl>
      <w:tblPr>
        <w:tblStyle w:val="42"/>
        <w:tblW w:w="8895" w:type="dxa"/>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4"/>
        <w:gridCol w:w="210"/>
        <w:gridCol w:w="839"/>
        <w:gridCol w:w="314"/>
        <w:gridCol w:w="314"/>
        <w:gridCol w:w="1048"/>
        <w:gridCol w:w="1048"/>
        <w:gridCol w:w="404"/>
        <w:gridCol w:w="749"/>
        <w:gridCol w:w="1407"/>
        <w:gridCol w:w="899"/>
        <w:gridCol w:w="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4" w:hRule="atLeast"/>
        </w:trPr>
        <w:tc>
          <w:tcPr>
            <w:tcW w:w="2625" w:type="dxa"/>
            <w:gridSpan w:val="5"/>
          </w:tcPr>
          <w:p>
            <w:pPr>
              <w:adjustRightInd w:val="0"/>
              <w:snapToGrid w:val="0"/>
              <w:spacing w:line="312" w:lineRule="auto"/>
              <w:rPr>
                <w:rFonts w:hint="eastAsia" w:ascii="仿宋" w:hAnsi="仿宋" w:eastAsia="仿宋"/>
                <w:szCs w:val="21"/>
              </w:rPr>
            </w:pPr>
            <w:r>
              <w:rPr>
                <w:rFonts w:hint="eastAsia" w:ascii="仿宋" w:hAnsi="仿宋" w:eastAsia="仿宋"/>
                <w:szCs w:val="21"/>
              </w:rPr>
              <w:t>姓名</w:t>
            </w:r>
          </w:p>
          <w:p>
            <w:pPr>
              <w:adjustRightInd w:val="0"/>
              <w:snapToGrid w:val="0"/>
              <w:spacing w:line="312" w:lineRule="auto"/>
              <w:rPr>
                <w:rFonts w:hint="eastAsia" w:ascii="仿宋" w:hAnsi="仿宋" w:eastAsia="仿宋"/>
                <w:szCs w:val="21"/>
              </w:rPr>
            </w:pPr>
            <w:r>
              <w:rPr>
                <w:rFonts w:hint="eastAsia" w:ascii="仿宋" w:hAnsi="仿宋" w:eastAsia="仿宋"/>
                <w:szCs w:val="21"/>
              </w:rPr>
              <w:t>（中国公民按身份证，外国公民按护照填写）</w:t>
            </w:r>
          </w:p>
        </w:tc>
        <w:tc>
          <w:tcPr>
            <w:tcW w:w="6270" w:type="dxa"/>
            <w:gridSpan w:val="7"/>
          </w:tcPr>
          <w:p>
            <w:pPr>
              <w:adjustRightInd w:val="0"/>
              <w:snapToGrid w:val="0"/>
              <w:spacing w:line="312" w:lineRule="auto"/>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6" w:hRule="atLeast"/>
        </w:trPr>
        <w:tc>
          <w:tcPr>
            <w:tcW w:w="945" w:type="dxa"/>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性别</w:t>
            </w:r>
          </w:p>
        </w:tc>
        <w:tc>
          <w:tcPr>
            <w:tcW w:w="1680" w:type="dxa"/>
            <w:gridSpan w:val="4"/>
            <w:vAlign w:val="center"/>
          </w:tcPr>
          <w:p>
            <w:pPr>
              <w:adjustRightInd w:val="0"/>
              <w:snapToGrid w:val="0"/>
              <w:spacing w:line="312" w:lineRule="auto"/>
              <w:rPr>
                <w:rFonts w:hint="eastAsia" w:ascii="仿宋" w:hAnsi="仿宋" w:eastAsia="仿宋"/>
                <w:szCs w:val="21"/>
              </w:rPr>
            </w:pPr>
          </w:p>
        </w:tc>
        <w:tc>
          <w:tcPr>
            <w:tcW w:w="1050" w:type="dxa"/>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18"/>
              </w:rPr>
              <w:t>出生日期</w:t>
            </w:r>
          </w:p>
        </w:tc>
        <w:tc>
          <w:tcPr>
            <w:tcW w:w="1455" w:type="dxa"/>
            <w:gridSpan w:val="2"/>
            <w:vAlign w:val="center"/>
          </w:tcPr>
          <w:p>
            <w:pPr>
              <w:adjustRightInd w:val="0"/>
              <w:snapToGrid w:val="0"/>
              <w:spacing w:line="312" w:lineRule="auto"/>
              <w:rPr>
                <w:rFonts w:hint="eastAsia" w:ascii="仿宋" w:hAnsi="仿宋" w:eastAsia="仿宋"/>
                <w:szCs w:val="21"/>
              </w:rPr>
            </w:pPr>
          </w:p>
        </w:tc>
        <w:tc>
          <w:tcPr>
            <w:tcW w:w="750" w:type="dxa"/>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国籍</w:t>
            </w:r>
          </w:p>
        </w:tc>
        <w:tc>
          <w:tcPr>
            <w:tcW w:w="1395" w:type="dxa"/>
            <w:vAlign w:val="center"/>
          </w:tcPr>
          <w:p>
            <w:pPr>
              <w:adjustRightInd w:val="0"/>
              <w:snapToGrid w:val="0"/>
              <w:spacing w:line="312" w:lineRule="auto"/>
              <w:rPr>
                <w:rFonts w:hint="eastAsia" w:ascii="仿宋" w:hAnsi="仿宋" w:eastAsia="仿宋"/>
                <w:szCs w:val="21"/>
              </w:rPr>
            </w:pPr>
          </w:p>
        </w:tc>
        <w:tc>
          <w:tcPr>
            <w:tcW w:w="900" w:type="dxa"/>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民族</w:t>
            </w:r>
          </w:p>
        </w:tc>
        <w:tc>
          <w:tcPr>
            <w:tcW w:w="720" w:type="dxa"/>
            <w:vAlign w:val="center"/>
          </w:tcPr>
          <w:p>
            <w:pPr>
              <w:adjustRightInd w:val="0"/>
              <w:snapToGrid w:val="0"/>
              <w:spacing w:line="312" w:lineRule="auto"/>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741" w:hRule="atLeast"/>
        </w:trPr>
        <w:tc>
          <w:tcPr>
            <w:tcW w:w="945" w:type="dxa"/>
            <w:tcBorders>
              <w:bottom w:val="single" w:color="auto" w:sz="4" w:space="0"/>
            </w:tcBorders>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身份证号码</w:t>
            </w:r>
          </w:p>
        </w:tc>
        <w:tc>
          <w:tcPr>
            <w:tcW w:w="2730" w:type="dxa"/>
            <w:gridSpan w:val="5"/>
            <w:vAlign w:val="center"/>
          </w:tcPr>
          <w:p>
            <w:pPr>
              <w:adjustRightInd w:val="0"/>
              <w:snapToGrid w:val="0"/>
              <w:spacing w:line="312" w:lineRule="auto"/>
              <w:rPr>
                <w:rFonts w:hint="eastAsia" w:ascii="仿宋" w:hAnsi="仿宋" w:eastAsia="仿宋"/>
                <w:szCs w:val="21"/>
              </w:rPr>
            </w:pPr>
          </w:p>
        </w:tc>
        <w:tc>
          <w:tcPr>
            <w:tcW w:w="1440" w:type="dxa"/>
            <w:gridSpan w:val="2"/>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政治面貌</w:t>
            </w:r>
          </w:p>
          <w:p>
            <w:pPr>
              <w:adjustRightInd w:val="0"/>
              <w:snapToGrid w:val="0"/>
              <w:spacing w:line="312" w:lineRule="auto"/>
              <w:rPr>
                <w:rFonts w:hint="eastAsia" w:ascii="仿宋" w:hAnsi="仿宋" w:eastAsia="仿宋"/>
                <w:szCs w:val="21"/>
              </w:rPr>
            </w:pPr>
            <w:r>
              <w:rPr>
                <w:rFonts w:hint="eastAsia" w:ascii="仿宋" w:hAnsi="仿宋" w:eastAsia="仿宋"/>
                <w:szCs w:val="21"/>
              </w:rPr>
              <w:t>（中国公民填写）</w:t>
            </w:r>
          </w:p>
        </w:tc>
        <w:tc>
          <w:tcPr>
            <w:tcW w:w="2160" w:type="dxa"/>
            <w:gridSpan w:val="2"/>
            <w:vAlign w:val="center"/>
          </w:tcPr>
          <w:p>
            <w:pPr>
              <w:adjustRightInd w:val="0"/>
              <w:snapToGrid w:val="0"/>
              <w:spacing w:line="312" w:lineRule="auto"/>
              <w:rPr>
                <w:rFonts w:hint="eastAsia" w:ascii="仿宋" w:hAnsi="仿宋" w:eastAsia="仿宋"/>
                <w:szCs w:val="21"/>
              </w:rPr>
            </w:pPr>
          </w:p>
        </w:tc>
        <w:tc>
          <w:tcPr>
            <w:tcW w:w="1620" w:type="dxa"/>
            <w:gridSpan w:val="2"/>
            <w:vMerge w:val="restart"/>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贴照片处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6" w:hRule="atLeast"/>
        </w:trPr>
        <w:tc>
          <w:tcPr>
            <w:tcW w:w="945" w:type="dxa"/>
            <w:tcBorders>
              <w:bottom w:val="single" w:color="auto" w:sz="4" w:space="0"/>
            </w:tcBorders>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护照</w:t>
            </w:r>
          </w:p>
          <w:p>
            <w:pPr>
              <w:adjustRightInd w:val="0"/>
              <w:snapToGrid w:val="0"/>
              <w:spacing w:line="312" w:lineRule="auto"/>
              <w:rPr>
                <w:rFonts w:hint="eastAsia" w:ascii="仿宋" w:hAnsi="仿宋" w:eastAsia="仿宋"/>
                <w:szCs w:val="21"/>
              </w:rPr>
            </w:pPr>
            <w:r>
              <w:rPr>
                <w:rFonts w:hint="eastAsia" w:ascii="仿宋" w:hAnsi="仿宋" w:eastAsia="仿宋"/>
                <w:szCs w:val="21"/>
              </w:rPr>
              <w:t>号码</w:t>
            </w:r>
          </w:p>
        </w:tc>
        <w:tc>
          <w:tcPr>
            <w:tcW w:w="2730" w:type="dxa"/>
            <w:gridSpan w:val="5"/>
            <w:vAlign w:val="center"/>
          </w:tcPr>
          <w:p>
            <w:pPr>
              <w:adjustRightInd w:val="0"/>
              <w:snapToGrid w:val="0"/>
              <w:spacing w:line="312" w:lineRule="auto"/>
              <w:rPr>
                <w:rFonts w:hint="eastAsia" w:ascii="仿宋" w:hAnsi="仿宋" w:eastAsia="仿宋"/>
                <w:szCs w:val="21"/>
              </w:rPr>
            </w:pPr>
          </w:p>
        </w:tc>
        <w:tc>
          <w:tcPr>
            <w:tcW w:w="1440" w:type="dxa"/>
            <w:gridSpan w:val="2"/>
            <w:vMerge w:val="restart"/>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参加的党派、团体（外国公民填写）</w:t>
            </w:r>
          </w:p>
        </w:tc>
        <w:tc>
          <w:tcPr>
            <w:tcW w:w="2160" w:type="dxa"/>
            <w:gridSpan w:val="2"/>
            <w:vMerge w:val="restart"/>
            <w:vAlign w:val="center"/>
          </w:tcPr>
          <w:p>
            <w:pPr>
              <w:adjustRightInd w:val="0"/>
              <w:snapToGrid w:val="0"/>
              <w:spacing w:line="312" w:lineRule="auto"/>
              <w:rPr>
                <w:rFonts w:hint="eastAsia" w:ascii="仿宋" w:hAnsi="仿宋" w:eastAsia="仿宋"/>
                <w:szCs w:val="21"/>
              </w:rPr>
            </w:pPr>
          </w:p>
        </w:tc>
        <w:tc>
          <w:tcPr>
            <w:tcW w:w="1620" w:type="dxa"/>
            <w:gridSpan w:val="2"/>
            <w:vMerge w:val="continue"/>
            <w:vAlign w:val="center"/>
          </w:tcPr>
          <w:p>
            <w:pPr>
              <w:adjustRightInd w:val="0"/>
              <w:snapToGrid w:val="0"/>
              <w:spacing w:line="312" w:lineRule="auto"/>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46" w:hRule="atLeast"/>
        </w:trPr>
        <w:tc>
          <w:tcPr>
            <w:tcW w:w="945" w:type="dxa"/>
            <w:tcBorders>
              <w:bottom w:val="single" w:color="auto" w:sz="4" w:space="0"/>
            </w:tcBorders>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出生地</w:t>
            </w:r>
          </w:p>
        </w:tc>
        <w:tc>
          <w:tcPr>
            <w:tcW w:w="2730" w:type="dxa"/>
            <w:gridSpan w:val="5"/>
            <w:tcBorders>
              <w:bottom w:val="single" w:color="auto" w:sz="4" w:space="0"/>
            </w:tcBorders>
            <w:vAlign w:val="center"/>
          </w:tcPr>
          <w:p>
            <w:pPr>
              <w:adjustRightInd w:val="0"/>
              <w:snapToGrid w:val="0"/>
              <w:spacing w:line="312" w:lineRule="auto"/>
              <w:rPr>
                <w:rFonts w:hint="eastAsia" w:ascii="仿宋" w:hAnsi="仿宋" w:eastAsia="仿宋"/>
                <w:szCs w:val="21"/>
              </w:rPr>
            </w:pPr>
          </w:p>
        </w:tc>
        <w:tc>
          <w:tcPr>
            <w:tcW w:w="1440" w:type="dxa"/>
            <w:gridSpan w:val="2"/>
            <w:vMerge w:val="continue"/>
            <w:tcBorders>
              <w:bottom w:val="single" w:color="auto" w:sz="4" w:space="0"/>
            </w:tcBorders>
            <w:vAlign w:val="center"/>
          </w:tcPr>
          <w:p>
            <w:pPr>
              <w:adjustRightInd w:val="0"/>
              <w:snapToGrid w:val="0"/>
              <w:spacing w:line="312" w:lineRule="auto"/>
              <w:rPr>
                <w:rFonts w:hint="eastAsia" w:ascii="仿宋" w:hAnsi="仿宋" w:eastAsia="仿宋"/>
                <w:szCs w:val="21"/>
              </w:rPr>
            </w:pPr>
          </w:p>
        </w:tc>
        <w:tc>
          <w:tcPr>
            <w:tcW w:w="2160" w:type="dxa"/>
            <w:gridSpan w:val="2"/>
            <w:vMerge w:val="continue"/>
            <w:tcBorders>
              <w:bottom w:val="single" w:color="auto" w:sz="4" w:space="0"/>
            </w:tcBorders>
            <w:vAlign w:val="center"/>
          </w:tcPr>
          <w:p>
            <w:pPr>
              <w:adjustRightInd w:val="0"/>
              <w:snapToGrid w:val="0"/>
              <w:spacing w:line="312" w:lineRule="auto"/>
              <w:rPr>
                <w:rFonts w:hint="eastAsia" w:ascii="仿宋" w:hAnsi="仿宋" w:eastAsia="仿宋"/>
                <w:szCs w:val="21"/>
              </w:rPr>
            </w:pPr>
          </w:p>
        </w:tc>
        <w:tc>
          <w:tcPr>
            <w:tcW w:w="1620" w:type="dxa"/>
            <w:gridSpan w:val="2"/>
            <w:vMerge w:val="continue"/>
            <w:tcBorders>
              <w:bottom w:val="single" w:color="auto" w:sz="4" w:space="0"/>
            </w:tcBorders>
            <w:vAlign w:val="center"/>
          </w:tcPr>
          <w:p>
            <w:pPr>
              <w:adjustRightInd w:val="0"/>
              <w:snapToGrid w:val="0"/>
              <w:spacing w:line="312" w:lineRule="auto"/>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4" w:hRule="atLeast"/>
        </w:trPr>
        <w:tc>
          <w:tcPr>
            <w:tcW w:w="945" w:type="dxa"/>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从事金融工作时间</w:t>
            </w:r>
          </w:p>
        </w:tc>
        <w:tc>
          <w:tcPr>
            <w:tcW w:w="2730" w:type="dxa"/>
            <w:gridSpan w:val="5"/>
            <w:vAlign w:val="center"/>
          </w:tcPr>
          <w:p>
            <w:pPr>
              <w:adjustRightInd w:val="0"/>
              <w:snapToGrid w:val="0"/>
              <w:spacing w:line="312" w:lineRule="auto"/>
              <w:rPr>
                <w:rFonts w:hint="eastAsia" w:ascii="仿宋" w:hAnsi="仿宋" w:eastAsia="仿宋"/>
                <w:szCs w:val="21"/>
              </w:rPr>
            </w:pPr>
          </w:p>
        </w:tc>
        <w:tc>
          <w:tcPr>
            <w:tcW w:w="3600" w:type="dxa"/>
            <w:gridSpan w:val="4"/>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从事相关经济工作时间</w:t>
            </w:r>
          </w:p>
        </w:tc>
        <w:tc>
          <w:tcPr>
            <w:tcW w:w="1620" w:type="dxa"/>
            <w:gridSpan w:val="2"/>
            <w:vAlign w:val="center"/>
          </w:tcPr>
          <w:p>
            <w:pPr>
              <w:adjustRightInd w:val="0"/>
              <w:snapToGrid w:val="0"/>
              <w:spacing w:line="312" w:lineRule="auto"/>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0" w:hRule="atLeast"/>
        </w:trPr>
        <w:tc>
          <w:tcPr>
            <w:tcW w:w="945" w:type="dxa"/>
            <w:vMerge w:val="restart"/>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最高</w:t>
            </w:r>
          </w:p>
          <w:p>
            <w:pPr>
              <w:adjustRightInd w:val="0"/>
              <w:snapToGrid w:val="0"/>
              <w:spacing w:line="312" w:lineRule="auto"/>
              <w:rPr>
                <w:rFonts w:hint="eastAsia" w:ascii="仿宋" w:hAnsi="仿宋" w:eastAsia="仿宋"/>
                <w:szCs w:val="21"/>
              </w:rPr>
            </w:pPr>
            <w:r>
              <w:rPr>
                <w:rFonts w:hint="eastAsia" w:ascii="仿宋" w:hAnsi="仿宋" w:eastAsia="仿宋"/>
                <w:szCs w:val="21"/>
              </w:rPr>
              <w:t>学历及学位</w:t>
            </w:r>
          </w:p>
        </w:tc>
        <w:tc>
          <w:tcPr>
            <w:tcW w:w="2730" w:type="dxa"/>
            <w:gridSpan w:val="5"/>
            <w:vMerge w:val="restart"/>
            <w:vAlign w:val="center"/>
          </w:tcPr>
          <w:p>
            <w:pPr>
              <w:adjustRightInd w:val="0"/>
              <w:snapToGrid w:val="0"/>
              <w:spacing w:line="312" w:lineRule="auto"/>
              <w:rPr>
                <w:rFonts w:hint="eastAsia" w:ascii="仿宋" w:hAnsi="仿宋" w:eastAsia="仿宋"/>
                <w:szCs w:val="21"/>
              </w:rPr>
            </w:pPr>
          </w:p>
        </w:tc>
        <w:tc>
          <w:tcPr>
            <w:tcW w:w="1440" w:type="dxa"/>
            <w:gridSpan w:val="2"/>
            <w:tcBorders>
              <w:bottom w:val="single" w:color="auto" w:sz="4" w:space="0"/>
            </w:tcBorders>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毕业院校及专业</w:t>
            </w:r>
          </w:p>
        </w:tc>
        <w:tc>
          <w:tcPr>
            <w:tcW w:w="3780" w:type="dxa"/>
            <w:gridSpan w:val="4"/>
            <w:tcBorders>
              <w:bottom w:val="single" w:color="auto" w:sz="4" w:space="0"/>
            </w:tcBorders>
            <w:vAlign w:val="center"/>
          </w:tcPr>
          <w:p>
            <w:pPr>
              <w:adjustRightInd w:val="0"/>
              <w:snapToGrid w:val="0"/>
              <w:spacing w:line="312" w:lineRule="auto"/>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708" w:hRule="atLeast"/>
        </w:trPr>
        <w:tc>
          <w:tcPr>
            <w:tcW w:w="945" w:type="dxa"/>
            <w:vMerge w:val="continue"/>
            <w:vAlign w:val="center"/>
          </w:tcPr>
          <w:p>
            <w:pPr>
              <w:adjustRightInd w:val="0"/>
              <w:snapToGrid w:val="0"/>
              <w:spacing w:line="312" w:lineRule="auto"/>
              <w:rPr>
                <w:rFonts w:hint="eastAsia" w:ascii="仿宋" w:hAnsi="仿宋" w:eastAsia="仿宋"/>
                <w:szCs w:val="21"/>
              </w:rPr>
            </w:pPr>
          </w:p>
        </w:tc>
        <w:tc>
          <w:tcPr>
            <w:tcW w:w="2730" w:type="dxa"/>
            <w:gridSpan w:val="5"/>
            <w:vMerge w:val="continue"/>
            <w:vAlign w:val="center"/>
          </w:tcPr>
          <w:p>
            <w:pPr>
              <w:adjustRightInd w:val="0"/>
              <w:snapToGrid w:val="0"/>
              <w:spacing w:line="312" w:lineRule="auto"/>
              <w:rPr>
                <w:rFonts w:hint="eastAsia" w:ascii="仿宋" w:hAnsi="仿宋" w:eastAsia="仿宋"/>
                <w:szCs w:val="21"/>
              </w:rPr>
            </w:pPr>
          </w:p>
        </w:tc>
        <w:tc>
          <w:tcPr>
            <w:tcW w:w="1440" w:type="dxa"/>
            <w:gridSpan w:val="2"/>
            <w:vMerge w:val="restart"/>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专业技术职称/资格</w:t>
            </w:r>
          </w:p>
        </w:tc>
        <w:tc>
          <w:tcPr>
            <w:tcW w:w="3780" w:type="dxa"/>
            <w:gridSpan w:val="4"/>
            <w:vMerge w:val="restart"/>
            <w:vAlign w:val="center"/>
          </w:tcPr>
          <w:p>
            <w:pPr>
              <w:adjustRightInd w:val="0"/>
              <w:snapToGrid w:val="0"/>
              <w:spacing w:line="312" w:lineRule="auto"/>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945" w:type="dxa"/>
            <w:vMerge w:val="continue"/>
            <w:tcBorders>
              <w:bottom w:val="nil"/>
            </w:tcBorders>
            <w:vAlign w:val="center"/>
          </w:tcPr>
          <w:p>
            <w:pPr>
              <w:adjustRightInd w:val="0"/>
              <w:snapToGrid w:val="0"/>
              <w:spacing w:line="312" w:lineRule="auto"/>
              <w:rPr>
                <w:rFonts w:hint="eastAsia" w:ascii="仿宋" w:hAnsi="仿宋" w:eastAsia="仿宋"/>
                <w:szCs w:val="21"/>
              </w:rPr>
            </w:pPr>
          </w:p>
        </w:tc>
        <w:tc>
          <w:tcPr>
            <w:tcW w:w="2730" w:type="dxa"/>
            <w:gridSpan w:val="5"/>
            <w:vMerge w:val="continue"/>
            <w:tcBorders>
              <w:bottom w:val="nil"/>
            </w:tcBorders>
            <w:vAlign w:val="center"/>
          </w:tcPr>
          <w:p>
            <w:pPr>
              <w:adjustRightInd w:val="0"/>
              <w:snapToGrid w:val="0"/>
              <w:spacing w:line="312" w:lineRule="auto"/>
              <w:rPr>
                <w:rFonts w:hint="eastAsia" w:ascii="仿宋" w:hAnsi="仿宋" w:eastAsia="仿宋"/>
                <w:szCs w:val="21"/>
              </w:rPr>
            </w:pPr>
          </w:p>
        </w:tc>
        <w:tc>
          <w:tcPr>
            <w:tcW w:w="1440" w:type="dxa"/>
            <w:gridSpan w:val="2"/>
            <w:vMerge w:val="continue"/>
            <w:tcBorders>
              <w:bottom w:val="nil"/>
            </w:tcBorders>
            <w:vAlign w:val="center"/>
          </w:tcPr>
          <w:p>
            <w:pPr>
              <w:adjustRightInd w:val="0"/>
              <w:snapToGrid w:val="0"/>
              <w:spacing w:line="312" w:lineRule="auto"/>
              <w:rPr>
                <w:rFonts w:hint="eastAsia" w:ascii="仿宋" w:hAnsi="仿宋" w:eastAsia="仿宋"/>
                <w:szCs w:val="21"/>
              </w:rPr>
            </w:pPr>
          </w:p>
        </w:tc>
        <w:tc>
          <w:tcPr>
            <w:tcW w:w="3780" w:type="dxa"/>
            <w:gridSpan w:val="4"/>
            <w:vMerge w:val="continue"/>
            <w:tcBorders>
              <w:bottom w:val="nil"/>
            </w:tcBorders>
            <w:vAlign w:val="center"/>
          </w:tcPr>
          <w:p>
            <w:pPr>
              <w:adjustRightInd w:val="0"/>
              <w:snapToGrid w:val="0"/>
              <w:spacing w:line="312" w:lineRule="auto"/>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1995" w:type="dxa"/>
            <w:gridSpan w:val="3"/>
            <w:vMerge w:val="restart"/>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现任职机构及职务</w:t>
            </w:r>
          </w:p>
        </w:tc>
        <w:tc>
          <w:tcPr>
            <w:tcW w:w="6900" w:type="dxa"/>
            <w:gridSpan w:val="9"/>
            <w:vMerge w:val="restart"/>
            <w:vAlign w:val="center"/>
          </w:tcPr>
          <w:p>
            <w:pPr>
              <w:adjustRightInd w:val="0"/>
              <w:snapToGrid w:val="0"/>
              <w:spacing w:line="312" w:lineRule="auto"/>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1995" w:type="dxa"/>
            <w:gridSpan w:val="3"/>
            <w:vMerge w:val="continue"/>
            <w:vAlign w:val="center"/>
          </w:tcPr>
          <w:p>
            <w:pPr>
              <w:adjustRightInd w:val="0"/>
              <w:snapToGrid w:val="0"/>
              <w:spacing w:line="312" w:lineRule="auto"/>
              <w:rPr>
                <w:rFonts w:hint="eastAsia" w:ascii="仿宋" w:hAnsi="仿宋" w:eastAsia="仿宋"/>
                <w:szCs w:val="21"/>
              </w:rPr>
            </w:pPr>
          </w:p>
        </w:tc>
        <w:tc>
          <w:tcPr>
            <w:tcW w:w="6900" w:type="dxa"/>
            <w:gridSpan w:val="9"/>
            <w:vMerge w:val="continue"/>
            <w:vAlign w:val="center"/>
          </w:tcPr>
          <w:p>
            <w:pPr>
              <w:adjustRightInd w:val="0"/>
              <w:snapToGrid w:val="0"/>
              <w:spacing w:line="312" w:lineRule="auto"/>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11" w:hRule="atLeast"/>
        </w:trPr>
        <w:tc>
          <w:tcPr>
            <w:tcW w:w="1995" w:type="dxa"/>
            <w:gridSpan w:val="3"/>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拟免职务</w:t>
            </w:r>
          </w:p>
        </w:tc>
        <w:tc>
          <w:tcPr>
            <w:tcW w:w="6900" w:type="dxa"/>
            <w:gridSpan w:val="9"/>
          </w:tcPr>
          <w:p>
            <w:pPr>
              <w:adjustRightInd w:val="0"/>
              <w:snapToGrid w:val="0"/>
              <w:spacing w:line="312" w:lineRule="auto"/>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1" w:hRule="atLeast"/>
        </w:trPr>
        <w:tc>
          <w:tcPr>
            <w:tcW w:w="1995" w:type="dxa"/>
            <w:gridSpan w:val="3"/>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拟任职机构及职务</w:t>
            </w:r>
          </w:p>
        </w:tc>
        <w:tc>
          <w:tcPr>
            <w:tcW w:w="6900" w:type="dxa"/>
            <w:gridSpan w:val="9"/>
            <w:vAlign w:val="center"/>
          </w:tcPr>
          <w:p>
            <w:pPr>
              <w:adjustRightInd w:val="0"/>
              <w:snapToGrid w:val="0"/>
              <w:spacing w:line="312" w:lineRule="auto"/>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6" w:hRule="atLeast"/>
        </w:trPr>
        <w:tc>
          <w:tcPr>
            <w:tcW w:w="1995" w:type="dxa"/>
            <w:gridSpan w:val="3"/>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主要经验、技能、专业特长</w:t>
            </w:r>
          </w:p>
        </w:tc>
        <w:tc>
          <w:tcPr>
            <w:tcW w:w="6900" w:type="dxa"/>
            <w:gridSpan w:val="9"/>
            <w:vAlign w:val="center"/>
          </w:tcPr>
          <w:p>
            <w:pPr>
              <w:adjustRightInd w:val="0"/>
              <w:snapToGrid w:val="0"/>
              <w:spacing w:line="312" w:lineRule="auto"/>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atLeast"/>
        </w:trPr>
        <w:tc>
          <w:tcPr>
            <w:tcW w:w="1995" w:type="dxa"/>
            <w:gridSpan w:val="3"/>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主要工作、研究成果</w:t>
            </w:r>
          </w:p>
        </w:tc>
        <w:tc>
          <w:tcPr>
            <w:tcW w:w="6900" w:type="dxa"/>
            <w:gridSpan w:val="9"/>
            <w:vAlign w:val="center"/>
          </w:tcPr>
          <w:p>
            <w:pPr>
              <w:adjustRightInd w:val="0"/>
              <w:snapToGrid w:val="0"/>
              <w:spacing w:line="312" w:lineRule="auto"/>
              <w:rPr>
                <w:rFonts w:hint="eastAsia" w:ascii="仿宋" w:hAnsi="仿宋" w:eastAsia="仿宋"/>
                <w:spacing w:val="-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714" w:hRule="atLeast"/>
        </w:trPr>
        <w:tc>
          <w:tcPr>
            <w:tcW w:w="1995" w:type="dxa"/>
            <w:gridSpan w:val="3"/>
            <w:tcBorders>
              <w:bottom w:val="single" w:color="auto" w:sz="4" w:space="0"/>
            </w:tcBorders>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学习及培训简历</w:t>
            </w:r>
          </w:p>
        </w:tc>
        <w:tc>
          <w:tcPr>
            <w:tcW w:w="6900" w:type="dxa"/>
            <w:gridSpan w:val="9"/>
            <w:tcBorders>
              <w:bottom w:val="single" w:color="auto" w:sz="4" w:space="0"/>
            </w:tcBorders>
          </w:tcPr>
          <w:p>
            <w:pPr>
              <w:adjustRightInd w:val="0"/>
              <w:snapToGrid w:val="0"/>
              <w:spacing w:line="312" w:lineRule="auto"/>
              <w:rPr>
                <w:rFonts w:hint="eastAsia" w:ascii="仿宋" w:hAnsi="仿宋" w:eastAsia="仿宋"/>
                <w:spacing w:val="-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21" w:hRule="atLeast"/>
        </w:trPr>
        <w:tc>
          <w:tcPr>
            <w:tcW w:w="1995" w:type="dxa"/>
            <w:gridSpan w:val="3"/>
            <w:tcBorders>
              <w:bottom w:val="single" w:color="auto" w:sz="4" w:space="0"/>
            </w:tcBorders>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工作简历</w:t>
            </w:r>
          </w:p>
        </w:tc>
        <w:tc>
          <w:tcPr>
            <w:tcW w:w="6900" w:type="dxa"/>
            <w:gridSpan w:val="9"/>
            <w:tcBorders>
              <w:bottom w:val="single" w:color="auto" w:sz="4" w:space="0"/>
            </w:tcBorders>
            <w:vAlign w:val="center"/>
          </w:tcPr>
          <w:p>
            <w:pPr>
              <w:adjustRightInd w:val="0"/>
              <w:snapToGrid w:val="0"/>
              <w:spacing w:line="312" w:lineRule="auto"/>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16" w:hRule="atLeast"/>
        </w:trPr>
        <w:tc>
          <w:tcPr>
            <w:tcW w:w="1995" w:type="dxa"/>
            <w:gridSpan w:val="3"/>
            <w:vAlign w:val="center"/>
          </w:tcPr>
          <w:p>
            <w:pPr>
              <w:adjustRightInd w:val="0"/>
              <w:snapToGrid w:val="0"/>
              <w:spacing w:line="312" w:lineRule="auto"/>
              <w:rPr>
                <w:rFonts w:hint="eastAsia" w:ascii="仿宋" w:hAnsi="仿宋" w:eastAsia="仿宋"/>
                <w:szCs w:val="21"/>
              </w:rPr>
            </w:pPr>
            <w:r>
              <w:rPr>
                <w:rFonts w:hint="eastAsia" w:ascii="仿宋" w:hAnsi="仿宋" w:eastAsia="仿宋"/>
                <w:szCs w:val="21"/>
              </w:rPr>
              <w:t>奖惩</w:t>
            </w:r>
          </w:p>
          <w:p>
            <w:pPr>
              <w:adjustRightInd w:val="0"/>
              <w:snapToGrid w:val="0"/>
              <w:spacing w:line="312" w:lineRule="auto"/>
              <w:rPr>
                <w:rFonts w:hint="eastAsia" w:ascii="仿宋" w:hAnsi="仿宋" w:eastAsia="仿宋"/>
                <w:szCs w:val="21"/>
              </w:rPr>
            </w:pPr>
            <w:r>
              <w:rPr>
                <w:rFonts w:hint="eastAsia" w:ascii="仿宋" w:hAnsi="仿宋" w:eastAsia="仿宋"/>
                <w:szCs w:val="21"/>
              </w:rPr>
              <w:t>记录</w:t>
            </w:r>
          </w:p>
        </w:tc>
        <w:tc>
          <w:tcPr>
            <w:tcW w:w="6900" w:type="dxa"/>
            <w:gridSpan w:val="9"/>
          </w:tcPr>
          <w:p>
            <w:pPr>
              <w:adjustRightInd w:val="0"/>
              <w:snapToGrid w:val="0"/>
              <w:spacing w:line="312" w:lineRule="auto"/>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5" w:hRule="atLeast"/>
        </w:trPr>
        <w:tc>
          <w:tcPr>
            <w:tcW w:w="1155" w:type="dxa"/>
            <w:gridSpan w:val="2"/>
            <w:vMerge w:val="restart"/>
            <w:vAlign w:val="center"/>
          </w:tcPr>
          <w:p>
            <w:pPr>
              <w:adjustRightInd w:val="0"/>
              <w:snapToGrid w:val="0"/>
              <w:spacing w:line="312" w:lineRule="auto"/>
              <w:ind w:right="-3"/>
              <w:rPr>
                <w:rFonts w:hint="eastAsia" w:ascii="仿宋" w:hAnsi="仿宋" w:eastAsia="仿宋"/>
                <w:szCs w:val="21"/>
              </w:rPr>
            </w:pPr>
            <w:r>
              <w:rPr>
                <w:rFonts w:hint="eastAsia" w:ascii="仿宋" w:hAnsi="仿宋" w:eastAsia="仿宋"/>
                <w:szCs w:val="21"/>
              </w:rPr>
              <w:t>主要家庭成员及社会关系</w:t>
            </w:r>
          </w:p>
        </w:tc>
        <w:tc>
          <w:tcPr>
            <w:tcW w:w="1155" w:type="dxa"/>
            <w:gridSpan w:val="2"/>
            <w:vAlign w:val="center"/>
          </w:tcPr>
          <w:p>
            <w:pPr>
              <w:adjustRightInd w:val="0"/>
              <w:snapToGrid w:val="0"/>
              <w:spacing w:line="312" w:lineRule="auto"/>
              <w:ind w:right="-3"/>
              <w:rPr>
                <w:rFonts w:hint="eastAsia" w:ascii="仿宋" w:hAnsi="仿宋" w:eastAsia="仿宋"/>
                <w:szCs w:val="21"/>
              </w:rPr>
            </w:pPr>
            <w:r>
              <w:rPr>
                <w:rFonts w:hint="eastAsia" w:ascii="仿宋" w:hAnsi="仿宋" w:eastAsia="仿宋"/>
                <w:szCs w:val="21"/>
              </w:rPr>
              <w:t>关系</w:t>
            </w:r>
          </w:p>
        </w:tc>
        <w:tc>
          <w:tcPr>
            <w:tcW w:w="1365" w:type="dxa"/>
            <w:gridSpan w:val="2"/>
            <w:vAlign w:val="center"/>
          </w:tcPr>
          <w:p>
            <w:pPr>
              <w:adjustRightInd w:val="0"/>
              <w:snapToGrid w:val="0"/>
              <w:spacing w:line="312" w:lineRule="auto"/>
              <w:ind w:right="-3"/>
              <w:rPr>
                <w:rFonts w:hint="eastAsia" w:ascii="仿宋" w:hAnsi="仿宋" w:eastAsia="仿宋"/>
                <w:szCs w:val="21"/>
              </w:rPr>
            </w:pPr>
            <w:r>
              <w:rPr>
                <w:rFonts w:hint="eastAsia" w:ascii="仿宋" w:hAnsi="仿宋" w:eastAsia="仿宋"/>
                <w:szCs w:val="21"/>
              </w:rPr>
              <w:t>姓名</w:t>
            </w:r>
          </w:p>
        </w:tc>
        <w:tc>
          <w:tcPr>
            <w:tcW w:w="1050" w:type="dxa"/>
            <w:vAlign w:val="center"/>
          </w:tcPr>
          <w:p>
            <w:pPr>
              <w:adjustRightInd w:val="0"/>
              <w:snapToGrid w:val="0"/>
              <w:spacing w:line="312" w:lineRule="auto"/>
              <w:ind w:right="-3"/>
              <w:rPr>
                <w:rFonts w:hint="eastAsia" w:ascii="仿宋" w:hAnsi="仿宋" w:eastAsia="仿宋"/>
                <w:szCs w:val="21"/>
              </w:rPr>
            </w:pPr>
            <w:r>
              <w:rPr>
                <w:rFonts w:hint="eastAsia" w:ascii="仿宋" w:hAnsi="仿宋" w:eastAsia="仿宋"/>
                <w:szCs w:val="21"/>
              </w:rPr>
              <w:t>年龄</w:t>
            </w:r>
          </w:p>
        </w:tc>
        <w:tc>
          <w:tcPr>
            <w:tcW w:w="4170" w:type="dxa"/>
            <w:gridSpan w:val="5"/>
            <w:vAlign w:val="center"/>
          </w:tcPr>
          <w:p>
            <w:pPr>
              <w:adjustRightInd w:val="0"/>
              <w:snapToGrid w:val="0"/>
              <w:spacing w:line="312" w:lineRule="auto"/>
              <w:ind w:right="-3"/>
              <w:rPr>
                <w:rFonts w:hint="eastAsia" w:ascii="仿宋" w:hAnsi="仿宋" w:eastAsia="仿宋"/>
                <w:szCs w:val="21"/>
              </w:rPr>
            </w:pPr>
            <w:r>
              <w:rPr>
                <w:rFonts w:hint="eastAsia" w:ascii="仿宋" w:hAnsi="仿宋" w:eastAsia="仿宋"/>
                <w:szCs w:val="21"/>
              </w:rPr>
              <w:t>任职机构及职务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75" w:hRule="atLeast"/>
        </w:trPr>
        <w:tc>
          <w:tcPr>
            <w:tcW w:w="1155" w:type="dxa"/>
            <w:gridSpan w:val="2"/>
            <w:vMerge w:val="continue"/>
            <w:vAlign w:val="center"/>
          </w:tcPr>
          <w:p>
            <w:pPr>
              <w:adjustRightInd w:val="0"/>
              <w:snapToGrid w:val="0"/>
              <w:spacing w:line="312" w:lineRule="auto"/>
              <w:ind w:right="-3"/>
              <w:rPr>
                <w:rFonts w:hint="eastAsia" w:ascii="仿宋" w:hAnsi="仿宋" w:eastAsia="仿宋"/>
                <w:szCs w:val="21"/>
              </w:rPr>
            </w:pPr>
          </w:p>
        </w:tc>
        <w:tc>
          <w:tcPr>
            <w:tcW w:w="1155" w:type="dxa"/>
            <w:gridSpan w:val="2"/>
            <w:vAlign w:val="center"/>
          </w:tcPr>
          <w:p>
            <w:pPr>
              <w:adjustRightInd w:val="0"/>
              <w:snapToGrid w:val="0"/>
              <w:spacing w:line="312" w:lineRule="auto"/>
              <w:ind w:right="229"/>
              <w:rPr>
                <w:rFonts w:hint="eastAsia" w:ascii="仿宋" w:hAnsi="仿宋" w:eastAsia="仿宋"/>
                <w:szCs w:val="21"/>
              </w:rPr>
            </w:pPr>
          </w:p>
        </w:tc>
        <w:tc>
          <w:tcPr>
            <w:tcW w:w="1365" w:type="dxa"/>
            <w:gridSpan w:val="2"/>
            <w:vAlign w:val="center"/>
          </w:tcPr>
          <w:p>
            <w:pPr>
              <w:adjustRightInd w:val="0"/>
              <w:snapToGrid w:val="0"/>
              <w:spacing w:line="312" w:lineRule="auto"/>
              <w:ind w:right="229"/>
              <w:rPr>
                <w:rFonts w:hint="eastAsia" w:ascii="仿宋" w:hAnsi="仿宋" w:eastAsia="仿宋"/>
                <w:szCs w:val="21"/>
              </w:rPr>
            </w:pPr>
          </w:p>
        </w:tc>
        <w:tc>
          <w:tcPr>
            <w:tcW w:w="1050" w:type="dxa"/>
            <w:vAlign w:val="center"/>
          </w:tcPr>
          <w:p>
            <w:pPr>
              <w:adjustRightInd w:val="0"/>
              <w:snapToGrid w:val="0"/>
              <w:spacing w:line="312" w:lineRule="auto"/>
              <w:ind w:right="229"/>
              <w:rPr>
                <w:rFonts w:hint="eastAsia" w:ascii="仿宋" w:hAnsi="仿宋" w:eastAsia="仿宋"/>
                <w:szCs w:val="21"/>
              </w:rPr>
            </w:pPr>
          </w:p>
        </w:tc>
        <w:tc>
          <w:tcPr>
            <w:tcW w:w="4170" w:type="dxa"/>
            <w:gridSpan w:val="5"/>
            <w:vAlign w:val="center"/>
          </w:tcPr>
          <w:p>
            <w:pPr>
              <w:adjustRightInd w:val="0"/>
              <w:snapToGrid w:val="0"/>
              <w:spacing w:line="312" w:lineRule="auto"/>
              <w:ind w:right="229"/>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5" w:hRule="atLeast"/>
        </w:trPr>
        <w:tc>
          <w:tcPr>
            <w:tcW w:w="1155" w:type="dxa"/>
            <w:gridSpan w:val="2"/>
            <w:vMerge w:val="continue"/>
            <w:vAlign w:val="center"/>
          </w:tcPr>
          <w:p>
            <w:pPr>
              <w:adjustRightInd w:val="0"/>
              <w:snapToGrid w:val="0"/>
              <w:spacing w:line="312" w:lineRule="auto"/>
              <w:ind w:right="-3"/>
              <w:rPr>
                <w:rFonts w:hint="eastAsia" w:ascii="仿宋" w:hAnsi="仿宋" w:eastAsia="仿宋"/>
                <w:szCs w:val="21"/>
              </w:rPr>
            </w:pPr>
          </w:p>
        </w:tc>
        <w:tc>
          <w:tcPr>
            <w:tcW w:w="1155" w:type="dxa"/>
            <w:gridSpan w:val="2"/>
            <w:vAlign w:val="center"/>
          </w:tcPr>
          <w:p>
            <w:pPr>
              <w:adjustRightInd w:val="0"/>
              <w:snapToGrid w:val="0"/>
              <w:spacing w:line="312" w:lineRule="auto"/>
              <w:ind w:right="229"/>
              <w:rPr>
                <w:rFonts w:hint="eastAsia" w:ascii="仿宋" w:hAnsi="仿宋" w:eastAsia="仿宋"/>
                <w:szCs w:val="21"/>
              </w:rPr>
            </w:pPr>
          </w:p>
        </w:tc>
        <w:tc>
          <w:tcPr>
            <w:tcW w:w="1365" w:type="dxa"/>
            <w:gridSpan w:val="2"/>
            <w:vAlign w:val="center"/>
          </w:tcPr>
          <w:p>
            <w:pPr>
              <w:adjustRightInd w:val="0"/>
              <w:snapToGrid w:val="0"/>
              <w:spacing w:line="312" w:lineRule="auto"/>
              <w:ind w:right="229"/>
              <w:rPr>
                <w:rFonts w:hint="eastAsia" w:ascii="仿宋" w:hAnsi="仿宋" w:eastAsia="仿宋"/>
                <w:szCs w:val="21"/>
              </w:rPr>
            </w:pPr>
          </w:p>
        </w:tc>
        <w:tc>
          <w:tcPr>
            <w:tcW w:w="1050" w:type="dxa"/>
            <w:vAlign w:val="center"/>
          </w:tcPr>
          <w:p>
            <w:pPr>
              <w:adjustRightInd w:val="0"/>
              <w:snapToGrid w:val="0"/>
              <w:spacing w:line="312" w:lineRule="auto"/>
              <w:ind w:right="229"/>
              <w:rPr>
                <w:rFonts w:hint="eastAsia" w:ascii="仿宋" w:hAnsi="仿宋" w:eastAsia="仿宋"/>
                <w:szCs w:val="21"/>
              </w:rPr>
            </w:pPr>
          </w:p>
        </w:tc>
        <w:tc>
          <w:tcPr>
            <w:tcW w:w="4170" w:type="dxa"/>
            <w:gridSpan w:val="5"/>
            <w:vAlign w:val="center"/>
          </w:tcPr>
          <w:p>
            <w:pPr>
              <w:adjustRightInd w:val="0"/>
              <w:snapToGrid w:val="0"/>
              <w:spacing w:line="312" w:lineRule="auto"/>
              <w:ind w:right="229"/>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5" w:hRule="atLeast"/>
        </w:trPr>
        <w:tc>
          <w:tcPr>
            <w:tcW w:w="1155" w:type="dxa"/>
            <w:gridSpan w:val="2"/>
            <w:vMerge w:val="continue"/>
            <w:vAlign w:val="center"/>
          </w:tcPr>
          <w:p>
            <w:pPr>
              <w:adjustRightInd w:val="0"/>
              <w:snapToGrid w:val="0"/>
              <w:spacing w:line="312" w:lineRule="auto"/>
              <w:ind w:right="-3"/>
              <w:rPr>
                <w:rFonts w:hint="eastAsia" w:ascii="仿宋" w:hAnsi="仿宋" w:eastAsia="仿宋"/>
                <w:szCs w:val="21"/>
              </w:rPr>
            </w:pPr>
          </w:p>
        </w:tc>
        <w:tc>
          <w:tcPr>
            <w:tcW w:w="1155" w:type="dxa"/>
            <w:gridSpan w:val="2"/>
            <w:vAlign w:val="center"/>
          </w:tcPr>
          <w:p>
            <w:pPr>
              <w:adjustRightInd w:val="0"/>
              <w:snapToGrid w:val="0"/>
              <w:spacing w:line="312" w:lineRule="auto"/>
              <w:ind w:right="229"/>
              <w:rPr>
                <w:rFonts w:hint="eastAsia" w:ascii="仿宋" w:hAnsi="仿宋" w:eastAsia="仿宋"/>
                <w:szCs w:val="21"/>
              </w:rPr>
            </w:pPr>
          </w:p>
        </w:tc>
        <w:tc>
          <w:tcPr>
            <w:tcW w:w="1365" w:type="dxa"/>
            <w:gridSpan w:val="2"/>
            <w:vAlign w:val="center"/>
          </w:tcPr>
          <w:p>
            <w:pPr>
              <w:adjustRightInd w:val="0"/>
              <w:snapToGrid w:val="0"/>
              <w:spacing w:line="312" w:lineRule="auto"/>
              <w:ind w:right="229"/>
              <w:rPr>
                <w:rFonts w:hint="eastAsia" w:ascii="仿宋" w:hAnsi="仿宋" w:eastAsia="仿宋"/>
                <w:szCs w:val="21"/>
              </w:rPr>
            </w:pPr>
          </w:p>
        </w:tc>
        <w:tc>
          <w:tcPr>
            <w:tcW w:w="1050" w:type="dxa"/>
            <w:vAlign w:val="center"/>
          </w:tcPr>
          <w:p>
            <w:pPr>
              <w:adjustRightInd w:val="0"/>
              <w:snapToGrid w:val="0"/>
              <w:spacing w:line="312" w:lineRule="auto"/>
              <w:ind w:right="229"/>
              <w:rPr>
                <w:rFonts w:hint="eastAsia" w:ascii="仿宋" w:hAnsi="仿宋" w:eastAsia="仿宋"/>
                <w:szCs w:val="21"/>
              </w:rPr>
            </w:pPr>
          </w:p>
        </w:tc>
        <w:tc>
          <w:tcPr>
            <w:tcW w:w="4170" w:type="dxa"/>
            <w:gridSpan w:val="5"/>
            <w:vAlign w:val="center"/>
          </w:tcPr>
          <w:p>
            <w:pPr>
              <w:adjustRightInd w:val="0"/>
              <w:snapToGrid w:val="0"/>
              <w:spacing w:line="312" w:lineRule="auto"/>
              <w:ind w:right="229"/>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5" w:hRule="atLeast"/>
        </w:trPr>
        <w:tc>
          <w:tcPr>
            <w:tcW w:w="1155" w:type="dxa"/>
            <w:gridSpan w:val="2"/>
            <w:vMerge w:val="continue"/>
            <w:vAlign w:val="center"/>
          </w:tcPr>
          <w:p>
            <w:pPr>
              <w:adjustRightInd w:val="0"/>
              <w:snapToGrid w:val="0"/>
              <w:spacing w:line="312" w:lineRule="auto"/>
              <w:ind w:right="-3"/>
              <w:rPr>
                <w:rFonts w:hint="eastAsia" w:ascii="仿宋" w:hAnsi="仿宋" w:eastAsia="仿宋"/>
                <w:szCs w:val="21"/>
              </w:rPr>
            </w:pPr>
          </w:p>
        </w:tc>
        <w:tc>
          <w:tcPr>
            <w:tcW w:w="1155" w:type="dxa"/>
            <w:gridSpan w:val="2"/>
            <w:vAlign w:val="center"/>
          </w:tcPr>
          <w:p>
            <w:pPr>
              <w:adjustRightInd w:val="0"/>
              <w:snapToGrid w:val="0"/>
              <w:spacing w:line="312" w:lineRule="auto"/>
              <w:ind w:right="229"/>
              <w:rPr>
                <w:rFonts w:hint="eastAsia" w:ascii="仿宋" w:hAnsi="仿宋" w:eastAsia="仿宋"/>
                <w:szCs w:val="21"/>
              </w:rPr>
            </w:pPr>
          </w:p>
        </w:tc>
        <w:tc>
          <w:tcPr>
            <w:tcW w:w="1365" w:type="dxa"/>
            <w:gridSpan w:val="2"/>
            <w:vAlign w:val="center"/>
          </w:tcPr>
          <w:p>
            <w:pPr>
              <w:adjustRightInd w:val="0"/>
              <w:snapToGrid w:val="0"/>
              <w:spacing w:line="312" w:lineRule="auto"/>
              <w:ind w:right="229"/>
              <w:rPr>
                <w:rFonts w:hint="eastAsia" w:ascii="仿宋" w:hAnsi="仿宋" w:eastAsia="仿宋"/>
                <w:szCs w:val="21"/>
              </w:rPr>
            </w:pPr>
          </w:p>
        </w:tc>
        <w:tc>
          <w:tcPr>
            <w:tcW w:w="1050" w:type="dxa"/>
            <w:vAlign w:val="center"/>
          </w:tcPr>
          <w:p>
            <w:pPr>
              <w:adjustRightInd w:val="0"/>
              <w:snapToGrid w:val="0"/>
              <w:spacing w:line="312" w:lineRule="auto"/>
              <w:ind w:right="229"/>
              <w:rPr>
                <w:rFonts w:hint="eastAsia" w:ascii="仿宋" w:hAnsi="仿宋" w:eastAsia="仿宋"/>
                <w:szCs w:val="21"/>
              </w:rPr>
            </w:pPr>
          </w:p>
        </w:tc>
        <w:tc>
          <w:tcPr>
            <w:tcW w:w="4170" w:type="dxa"/>
            <w:gridSpan w:val="5"/>
            <w:vAlign w:val="center"/>
          </w:tcPr>
          <w:p>
            <w:pPr>
              <w:adjustRightInd w:val="0"/>
              <w:snapToGrid w:val="0"/>
              <w:spacing w:line="312" w:lineRule="auto"/>
              <w:ind w:right="229"/>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1155" w:type="dxa"/>
            <w:gridSpan w:val="2"/>
            <w:vMerge w:val="continue"/>
            <w:vAlign w:val="center"/>
          </w:tcPr>
          <w:p>
            <w:pPr>
              <w:adjustRightInd w:val="0"/>
              <w:snapToGrid w:val="0"/>
              <w:spacing w:line="312" w:lineRule="auto"/>
              <w:ind w:right="-3"/>
              <w:rPr>
                <w:rFonts w:hint="eastAsia" w:ascii="仿宋" w:hAnsi="仿宋" w:eastAsia="仿宋"/>
                <w:szCs w:val="21"/>
              </w:rPr>
            </w:pPr>
          </w:p>
        </w:tc>
        <w:tc>
          <w:tcPr>
            <w:tcW w:w="1155" w:type="dxa"/>
            <w:gridSpan w:val="2"/>
            <w:vAlign w:val="center"/>
          </w:tcPr>
          <w:p>
            <w:pPr>
              <w:adjustRightInd w:val="0"/>
              <w:snapToGrid w:val="0"/>
              <w:spacing w:line="312" w:lineRule="auto"/>
              <w:ind w:right="-3"/>
              <w:rPr>
                <w:rFonts w:hint="eastAsia" w:ascii="仿宋" w:hAnsi="仿宋" w:eastAsia="仿宋"/>
                <w:szCs w:val="21"/>
              </w:rPr>
            </w:pPr>
          </w:p>
        </w:tc>
        <w:tc>
          <w:tcPr>
            <w:tcW w:w="1365" w:type="dxa"/>
            <w:gridSpan w:val="2"/>
            <w:vAlign w:val="center"/>
          </w:tcPr>
          <w:p>
            <w:pPr>
              <w:adjustRightInd w:val="0"/>
              <w:snapToGrid w:val="0"/>
              <w:spacing w:line="312" w:lineRule="auto"/>
              <w:ind w:right="-3"/>
              <w:rPr>
                <w:rFonts w:hint="eastAsia" w:ascii="仿宋" w:hAnsi="仿宋" w:eastAsia="仿宋"/>
                <w:szCs w:val="21"/>
              </w:rPr>
            </w:pPr>
          </w:p>
        </w:tc>
        <w:tc>
          <w:tcPr>
            <w:tcW w:w="1050" w:type="dxa"/>
            <w:vAlign w:val="center"/>
          </w:tcPr>
          <w:p>
            <w:pPr>
              <w:adjustRightInd w:val="0"/>
              <w:snapToGrid w:val="0"/>
              <w:spacing w:line="312" w:lineRule="auto"/>
              <w:ind w:right="-3"/>
              <w:rPr>
                <w:rFonts w:hint="eastAsia" w:ascii="仿宋" w:hAnsi="仿宋" w:eastAsia="仿宋"/>
                <w:szCs w:val="21"/>
              </w:rPr>
            </w:pPr>
          </w:p>
        </w:tc>
        <w:tc>
          <w:tcPr>
            <w:tcW w:w="4170" w:type="dxa"/>
            <w:gridSpan w:val="5"/>
            <w:vAlign w:val="center"/>
          </w:tcPr>
          <w:p>
            <w:pPr>
              <w:adjustRightInd w:val="0"/>
              <w:snapToGrid w:val="0"/>
              <w:spacing w:line="312" w:lineRule="auto"/>
              <w:ind w:right="-3"/>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74" w:hRule="atLeast"/>
        </w:trPr>
        <w:tc>
          <w:tcPr>
            <w:tcW w:w="8895" w:type="dxa"/>
            <w:gridSpan w:val="12"/>
            <w:vAlign w:val="center"/>
          </w:tcPr>
          <w:p>
            <w:pPr>
              <w:adjustRightInd w:val="0"/>
              <w:snapToGrid w:val="0"/>
              <w:spacing w:line="312" w:lineRule="auto"/>
              <w:ind w:right="-6"/>
              <w:rPr>
                <w:rFonts w:hint="eastAsia" w:ascii="仿宋" w:hAnsi="仿宋" w:eastAsia="仿宋"/>
                <w:bCs/>
                <w:szCs w:val="21"/>
              </w:rPr>
            </w:pPr>
            <w:r>
              <w:rPr>
                <w:rFonts w:hint="eastAsia" w:ascii="仿宋" w:hAnsi="仿宋" w:eastAsia="仿宋"/>
                <w:bCs/>
                <w:szCs w:val="21"/>
              </w:rPr>
              <w:t>本人已阅知了有关任职资格条件规定，如实填写了任职资格申请表中的上述信息，并郑重声明本人不存在规定的不符合任职资格条件的任何情形。若本人存在规定的不符合任职资格条件的任何情形，将接受监管机构不予核准本人任职资格的决定。</w:t>
            </w:r>
          </w:p>
          <w:p>
            <w:pPr>
              <w:adjustRightInd w:val="0"/>
              <w:snapToGrid w:val="0"/>
              <w:spacing w:line="312" w:lineRule="auto"/>
              <w:ind w:right="-3"/>
              <w:rPr>
                <w:rFonts w:hint="eastAsia" w:ascii="仿宋" w:hAnsi="仿宋" w:eastAsia="仿宋"/>
                <w:szCs w:val="21"/>
              </w:rPr>
            </w:pPr>
            <w:r>
              <w:rPr>
                <w:rFonts w:hint="eastAsia" w:ascii="仿宋" w:hAnsi="仿宋" w:eastAsia="仿宋"/>
                <w:szCs w:val="21"/>
              </w:rPr>
              <w:t>签名：</w:t>
            </w:r>
          </w:p>
          <w:p>
            <w:pPr>
              <w:adjustRightInd w:val="0"/>
              <w:snapToGrid w:val="0"/>
              <w:spacing w:line="312" w:lineRule="auto"/>
              <w:ind w:right="-3"/>
              <w:rPr>
                <w:rFonts w:hint="eastAsia" w:ascii="仿宋" w:hAnsi="仿宋" w:eastAsia="仿宋"/>
                <w:szCs w:val="21"/>
              </w:rPr>
            </w:pPr>
            <w:r>
              <w:rPr>
                <w:rFonts w:hint="eastAsia" w:ascii="仿宋" w:hAnsi="仿宋" w:eastAsia="仿宋"/>
                <w:szCs w:val="21"/>
              </w:rPr>
              <w:t>日期（年/月/日）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48" w:hRule="atLeast"/>
        </w:trPr>
        <w:tc>
          <w:tcPr>
            <w:tcW w:w="2310" w:type="dxa"/>
            <w:gridSpan w:val="4"/>
            <w:vAlign w:val="center"/>
          </w:tcPr>
          <w:p>
            <w:pPr>
              <w:adjustRightInd w:val="0"/>
              <w:snapToGrid w:val="0"/>
              <w:spacing w:line="312" w:lineRule="auto"/>
              <w:ind w:right="-3"/>
              <w:rPr>
                <w:rFonts w:hint="eastAsia" w:ascii="仿宋" w:hAnsi="仿宋" w:eastAsia="仿宋"/>
                <w:szCs w:val="21"/>
              </w:rPr>
            </w:pPr>
            <w:r>
              <w:rPr>
                <w:rFonts w:hint="eastAsia" w:ascii="仿宋" w:hAnsi="仿宋" w:eastAsia="仿宋"/>
                <w:szCs w:val="21"/>
              </w:rPr>
              <w:t>申请人家庭住址及联系电话</w:t>
            </w:r>
          </w:p>
        </w:tc>
        <w:tc>
          <w:tcPr>
            <w:tcW w:w="6585" w:type="dxa"/>
            <w:gridSpan w:val="8"/>
            <w:vAlign w:val="center"/>
          </w:tcPr>
          <w:p>
            <w:pPr>
              <w:adjustRightInd w:val="0"/>
              <w:snapToGrid w:val="0"/>
              <w:spacing w:line="312" w:lineRule="auto"/>
              <w:ind w:right="-3"/>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2310" w:type="dxa"/>
            <w:gridSpan w:val="4"/>
            <w:vAlign w:val="center"/>
          </w:tcPr>
          <w:p>
            <w:pPr>
              <w:adjustRightInd w:val="0"/>
              <w:snapToGrid w:val="0"/>
              <w:spacing w:line="312" w:lineRule="auto"/>
              <w:ind w:right="-3"/>
              <w:rPr>
                <w:rFonts w:hint="eastAsia" w:ascii="仿宋" w:hAnsi="仿宋" w:eastAsia="仿宋"/>
                <w:szCs w:val="21"/>
              </w:rPr>
            </w:pPr>
            <w:r>
              <w:rPr>
                <w:rFonts w:hint="eastAsia" w:ascii="仿宋" w:hAnsi="仿宋" w:eastAsia="仿宋"/>
                <w:szCs w:val="21"/>
              </w:rPr>
              <w:t>申请机构联系人及联系电话</w:t>
            </w:r>
          </w:p>
        </w:tc>
        <w:tc>
          <w:tcPr>
            <w:tcW w:w="6585" w:type="dxa"/>
            <w:gridSpan w:val="8"/>
            <w:vAlign w:val="center"/>
          </w:tcPr>
          <w:p>
            <w:pPr>
              <w:adjustRightInd w:val="0"/>
              <w:snapToGrid w:val="0"/>
              <w:spacing w:line="312" w:lineRule="auto"/>
              <w:ind w:right="-3"/>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3" w:hRule="atLeast"/>
        </w:trPr>
        <w:tc>
          <w:tcPr>
            <w:tcW w:w="2310" w:type="dxa"/>
            <w:gridSpan w:val="4"/>
            <w:vAlign w:val="center"/>
          </w:tcPr>
          <w:p>
            <w:pPr>
              <w:adjustRightInd w:val="0"/>
              <w:snapToGrid w:val="0"/>
              <w:spacing w:line="312" w:lineRule="auto"/>
              <w:ind w:right="-3"/>
              <w:rPr>
                <w:rFonts w:hint="eastAsia" w:ascii="仿宋" w:hAnsi="仿宋" w:eastAsia="仿宋"/>
                <w:szCs w:val="21"/>
              </w:rPr>
            </w:pPr>
            <w:r>
              <w:rPr>
                <w:rFonts w:hint="eastAsia" w:ascii="仿宋" w:hAnsi="仿宋" w:eastAsia="仿宋"/>
                <w:szCs w:val="21"/>
              </w:rPr>
              <w:t>备注/补充说明</w:t>
            </w:r>
          </w:p>
        </w:tc>
        <w:tc>
          <w:tcPr>
            <w:tcW w:w="6585" w:type="dxa"/>
            <w:gridSpan w:val="8"/>
            <w:vAlign w:val="center"/>
          </w:tcPr>
          <w:p>
            <w:pPr>
              <w:adjustRightInd w:val="0"/>
              <w:snapToGrid w:val="0"/>
              <w:spacing w:line="312" w:lineRule="auto"/>
              <w:ind w:right="-3"/>
              <w:rPr>
                <w:rFonts w:hint="eastAsia" w:ascii="仿宋" w:hAnsi="仿宋" w:eastAsia="仿宋"/>
                <w:szCs w:val="21"/>
              </w:rPr>
            </w:pPr>
          </w:p>
        </w:tc>
      </w:tr>
    </w:tbl>
    <w:p>
      <w:pPr>
        <w:adjustRightInd w:val="0"/>
        <w:snapToGrid w:val="0"/>
        <w:spacing w:line="312" w:lineRule="auto"/>
        <w:ind w:right="229" w:firstLine="420" w:firstLineChars="200"/>
        <w:rPr>
          <w:rFonts w:hint="eastAsia" w:ascii="仿宋" w:hAnsi="仿宋" w:eastAsia="仿宋"/>
          <w:szCs w:val="32"/>
        </w:rPr>
      </w:pPr>
      <w:r>
        <w:rPr>
          <w:rFonts w:hint="eastAsia" w:ascii="仿宋" w:hAnsi="仿宋" w:eastAsia="仿宋"/>
          <w:szCs w:val="21"/>
        </w:rPr>
        <w:t>中国银行业监督管理委员会制</w:t>
      </w:r>
    </w:p>
    <w:p>
      <w:pPr>
        <w:adjustRightInd w:val="0"/>
        <w:snapToGrid w:val="0"/>
        <w:spacing w:line="312" w:lineRule="auto"/>
        <w:ind w:right="567" w:firstLine="420" w:firstLineChars="200"/>
        <w:rPr>
          <w:rFonts w:hint="eastAsia" w:ascii="仿宋" w:hAnsi="仿宋" w:eastAsia="仿宋"/>
          <w:szCs w:val="30"/>
        </w:rPr>
      </w:pPr>
      <w:r>
        <w:rPr>
          <w:rFonts w:hint="eastAsia" w:ascii="仿宋" w:hAnsi="仿宋" w:eastAsia="仿宋"/>
          <w:szCs w:val="30"/>
        </w:rPr>
        <w:t>填表说明:</w:t>
      </w:r>
    </w:p>
    <w:p>
      <w:pPr>
        <w:tabs>
          <w:tab w:val="left" w:pos="900"/>
        </w:tabs>
        <w:adjustRightInd w:val="0"/>
        <w:snapToGrid w:val="0"/>
        <w:spacing w:line="312" w:lineRule="auto"/>
        <w:ind w:right="567" w:firstLine="420" w:firstLineChars="200"/>
        <w:rPr>
          <w:rFonts w:hint="eastAsia" w:ascii="仿宋" w:hAnsi="仿宋" w:eastAsia="仿宋"/>
          <w:szCs w:val="30"/>
        </w:rPr>
      </w:pPr>
      <w:r>
        <w:rPr>
          <w:rFonts w:hint="eastAsia" w:ascii="仿宋" w:hAnsi="仿宋" w:eastAsia="仿宋"/>
          <w:szCs w:val="30"/>
        </w:rPr>
        <w:t>1.从事金融工作时间是指在持牌金融机构或金融监管部门工作或担任持牌金融机构的董事、监事的时间。在担保公司、小贷公司、企业财务、资产管理或资本运营部门、政府金融办工作，或者在财经类大学任教的经历不属于金融从业经历，不能计算在内。</w:t>
      </w:r>
    </w:p>
    <w:p>
      <w:pPr>
        <w:tabs>
          <w:tab w:val="left" w:pos="900"/>
        </w:tabs>
        <w:adjustRightInd w:val="0"/>
        <w:snapToGrid w:val="0"/>
        <w:spacing w:line="312" w:lineRule="auto"/>
        <w:ind w:right="567" w:firstLine="420" w:firstLineChars="200"/>
        <w:rPr>
          <w:rFonts w:hint="eastAsia" w:ascii="仿宋" w:hAnsi="仿宋" w:eastAsia="仿宋"/>
          <w:szCs w:val="30"/>
        </w:rPr>
      </w:pPr>
      <w:r>
        <w:rPr>
          <w:rFonts w:hint="eastAsia" w:ascii="仿宋" w:hAnsi="仿宋" w:eastAsia="仿宋"/>
          <w:szCs w:val="30"/>
        </w:rPr>
        <w:t>2.学习及培训简历，学习简历从最早接受高等教育的经历开始填写（包括脱产及在职接受的大专、本科、研究生等学习），培训简历是指较为正式的、授予相应证书或书面证明的培训经历。</w:t>
      </w:r>
    </w:p>
    <w:p>
      <w:pPr>
        <w:tabs>
          <w:tab w:val="left" w:pos="900"/>
        </w:tabs>
        <w:adjustRightInd w:val="0"/>
        <w:snapToGrid w:val="0"/>
        <w:spacing w:line="312" w:lineRule="auto"/>
        <w:ind w:right="567" w:firstLine="420" w:firstLineChars="200"/>
        <w:rPr>
          <w:rFonts w:hint="eastAsia" w:ascii="仿宋" w:hAnsi="仿宋" w:eastAsia="仿宋"/>
          <w:szCs w:val="30"/>
        </w:rPr>
      </w:pPr>
      <w:r>
        <w:rPr>
          <w:rFonts w:hint="eastAsia" w:ascii="仿宋" w:hAnsi="仿宋" w:eastAsia="仿宋"/>
          <w:szCs w:val="30"/>
        </w:rPr>
        <w:t>3.主要家庭成员及社会关系包括父母、配偶、子女和兄弟姐妹。</w:t>
      </w:r>
    </w:p>
    <w:p>
      <w:pPr>
        <w:tabs>
          <w:tab w:val="left" w:pos="900"/>
        </w:tabs>
        <w:adjustRightInd w:val="0"/>
        <w:snapToGrid w:val="0"/>
        <w:spacing w:line="312" w:lineRule="auto"/>
        <w:ind w:right="567" w:firstLine="420" w:firstLineChars="200"/>
        <w:rPr>
          <w:rFonts w:hint="eastAsia" w:ascii="仿宋" w:hAnsi="仿宋" w:eastAsia="仿宋"/>
          <w:szCs w:val="30"/>
        </w:rPr>
      </w:pPr>
      <w:r>
        <w:rPr>
          <w:rFonts w:hint="eastAsia" w:ascii="仿宋" w:hAnsi="仿宋" w:eastAsia="仿宋"/>
          <w:szCs w:val="30"/>
        </w:rPr>
        <w:t>4.表格中不应留有空白内容，没有内容的栏目应填“无”。</w:t>
      </w:r>
    </w:p>
    <w:p>
      <w:pPr>
        <w:adjustRightInd w:val="0"/>
        <w:snapToGrid w:val="0"/>
        <w:spacing w:line="312" w:lineRule="auto"/>
        <w:ind w:firstLine="420" w:firstLineChars="200"/>
        <w:rPr>
          <w:rFonts w:hint="eastAsia" w:ascii="仿宋" w:hAnsi="仿宋" w:eastAsia="仿宋"/>
          <w:szCs w:val="30"/>
        </w:rPr>
      </w:pPr>
    </w:p>
    <w:p>
      <w:pPr>
        <w:spacing w:line="312" w:lineRule="auto"/>
        <w:jc w:val="left"/>
        <w:rPr>
          <w:rFonts w:hint="eastAsia" w:ascii="仿宋" w:hAnsi="仿宋" w:eastAsia="仿宋"/>
        </w:rPr>
      </w:pPr>
    </w:p>
    <w:p>
      <w:pPr>
        <w:pStyle w:val="3"/>
        <w:rPr>
          <w:rFonts w:hint="eastAsia"/>
        </w:rPr>
      </w:pPr>
      <w:bookmarkStart w:id="1494" w:name="_Toc518836343"/>
      <w:bookmarkStart w:id="1495" w:name="_Toc161055670"/>
      <w:bookmarkStart w:id="1496" w:name="_Toc1973"/>
      <w:bookmarkStart w:id="1497" w:name="_Toc159398641"/>
      <w:r>
        <w:t>附件5：非银行金融机构行政许可事项申请材料目录及格式要求（2015年版）</w:t>
      </w:r>
      <w:bookmarkEnd w:id="1494"/>
      <w:r>
        <w:rPr>
          <w:rFonts w:hint="eastAsia"/>
        </w:rPr>
        <w:t>（已废止）</w:t>
      </w:r>
      <w:bookmarkEnd w:id="1495"/>
      <w:bookmarkEnd w:id="1496"/>
      <w:bookmarkEnd w:id="1497"/>
    </w:p>
    <w:p>
      <w:pPr>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