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02" w:name="_Toc518836351"/>
      <w:bookmarkStart w:id="1603" w:name="_Toc11038"/>
      <w:r>
        <w:rPr>
          <w:rFonts w:hint="eastAsia"/>
        </w:rPr>
        <w:t>425</w:t>
      </w:r>
      <w:r>
        <w:t>--</w:t>
      </w:r>
      <w:r>
        <w:rPr>
          <w:rFonts w:hint="eastAsia"/>
        </w:rPr>
        <w:t>中国银监会办公厅</w:t>
      </w:r>
      <w:r>
        <w:br w:type="textWrapping"/>
      </w:r>
      <w:r>
        <w:rPr>
          <w:rFonts w:hint="eastAsia"/>
        </w:rPr>
        <w:t>关于严格执行案件风险防控制度依法追偿涉案债权有关事项的通知</w:t>
      </w:r>
      <w:r>
        <w:rPr>
          <w:rFonts w:hint="eastAsia"/>
        </w:rPr>
        <w:br w:type="textWrapping"/>
      </w:r>
      <w:r>
        <w:rPr>
          <w:rFonts w:hint="eastAsia"/>
        </w:rPr>
        <w:t>（银监办发〔2015〕141号）</w:t>
      </w:r>
      <w:bookmarkEnd w:id="1602"/>
      <w:bookmarkEnd w:id="1603"/>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为严格执行案件风险防控制度，督促银行业金融机构进一步加强案件风险防控，依法选择合理的诉讼方式追偿涉案债权，现就有关事项通知如下：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一、严格性质认定，及时向公安司法机关报案</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（一）银行业金融机构要准确把握《中国银监会关于修订银行业金融机构案件定义及案件分类的通知》（银监发［2012］61号）</w:t>
      </w:r>
      <w:r>
        <w:rPr>
          <w:rStyle w:val="54"/>
          <w:rFonts w:ascii="仿宋" w:hAnsi="仿宋" w:eastAsia="仿宋"/>
        </w:rPr>
        <w:footnoteReference w:id="61"/>
      </w:r>
      <w:r>
        <w:rPr>
          <w:rFonts w:ascii="仿宋" w:hAnsi="仿宋" w:eastAsia="仿宋"/>
        </w:rPr>
        <w:t>中关于案件的定义，进一步明确案件移送公安、司法机关立案查处的细化标准，严格开展风险事件性质认定。对于分支机构出现的风险事件，要由上级案防牵头部门负责对风险事件的性质进行认定。各银行业金融机构要明确各级案防牵头部门，并要求分支机构将本级和上级案防牵头部门、部门职责、联系人、联系方式等信息报送属地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上级案防牵头部门在初步确认分支机构有关风险事件具有案件性质后，要立即向公安、司法机关报案，并配合有关部门开展案件调查，不得瞒报、漏报、迟报。报案存在失职问题的，要严厉追究案发分支机构的上级案防牵头部门的领导责任。案发分支机构的上级案防牵头部门应将案件信息确认报告等及时报送属地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三）在对分支机构的风险事件和案件的调查过程中，银行业金融机构要更加突出上级案防牵头部门的作用，由上级案防牵头部门根据调查和公安、司法部门的侦查、受理情况，决定以适当的方式追偿银行业金融机构债权，不得为逃避责任以民事诉讼替代刑事诉讼。</w:t>
      </w:r>
    </w:p>
    <w:p>
      <w:pPr>
        <w:adjustRightInd w:val="0"/>
        <w:snapToGrid w:val="0"/>
        <w:spacing w:line="312" w:lineRule="auto"/>
        <w:ind w:firstLine="420" w:firstLineChars="200"/>
        <w:rPr>
          <w:rFonts w:hint="eastAsia" w:ascii="仿宋" w:hAnsi="仿宋" w:eastAsia="仿宋"/>
        </w:rPr>
      </w:pPr>
      <w:r>
        <w:rPr>
          <w:rFonts w:ascii="仿宋" w:hAnsi="仿宋" w:eastAsia="仿宋"/>
        </w:rPr>
        <w:t>二、厘清岗位职责，完善案防工作机制</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业金融机构要持续优化内部保卫、监察、法律、合规、风险、保全、内审、稽核等案防部门的组织架构和职责，强化对案防职能的条线管理，实行“条线主导、‘双线’报告”，即各级案防部门除了要向本级经营机构领导报告和负责外，还应主要向上级案防部门报告负责，实现各级案防部门与本级经营机构的相对独立。</w:t>
      </w:r>
    </w:p>
    <w:p>
      <w:pPr>
        <w:adjustRightInd w:val="0"/>
        <w:snapToGrid w:val="0"/>
        <w:spacing w:line="312" w:lineRule="auto"/>
        <w:ind w:firstLine="420" w:firstLineChars="200"/>
        <w:rPr>
          <w:rFonts w:hint="eastAsia" w:ascii="仿宋" w:hAnsi="仿宋" w:eastAsia="仿宋"/>
        </w:rPr>
      </w:pPr>
      <w:r>
        <w:rPr>
          <w:rFonts w:ascii="仿宋" w:hAnsi="仿宋" w:eastAsia="仿宋"/>
        </w:rPr>
        <w:t>（五）对于涉案资产的责任认定和清收，应由案发分支机构的上级机构成立专案组总体负责，案防部门参与，并按照内部职责分工做好案件调查、责任认定和资产清收等工作，不得由案发分支机构主导。</w:t>
      </w:r>
    </w:p>
    <w:p>
      <w:pPr>
        <w:adjustRightInd w:val="0"/>
        <w:snapToGrid w:val="0"/>
        <w:spacing w:line="312" w:lineRule="auto"/>
        <w:ind w:firstLine="420" w:firstLineChars="200"/>
        <w:rPr>
          <w:rFonts w:hint="eastAsia" w:ascii="仿宋" w:hAnsi="仿宋" w:eastAsia="仿宋"/>
        </w:rPr>
      </w:pPr>
      <w:r>
        <w:rPr>
          <w:rFonts w:ascii="仿宋" w:hAnsi="仿宋" w:eastAsia="仿宋"/>
        </w:rPr>
        <w:t>三、坚持客观公正原则，认真落实案件责任追究制度</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业金融机构要认真执行《银行业金融机构案件问责工作管理暂行办法》等有关案件问责的制度规定，按照依法依规、实事求是、权责对等、责任明确、逐级追究的原则对案件责任人员实施责任追究，防止问责扩大化和问责不到位，切实做到“谁的责任谁承担”。对于主动反映、举报案件线索的，可以免予追究案发分支机构和上级机构有关责任人员的责任；对于自查发现、主动揭露案件的，可以从轻或减轻追究案发分支机构和上级机构有关责任人员的责任。对于案发后瞒报或故意漏报、迟报、错报案件信息和为逃避责任有意以民事诉讼替代刑事诉讼导致损失进一步扩大等问题的，应对案发分支机构和上级机构有关责任人员从重问责。</w:t>
      </w:r>
    </w:p>
    <w:p>
      <w:pPr>
        <w:adjustRightInd w:val="0"/>
        <w:snapToGrid w:val="0"/>
        <w:spacing w:line="312" w:lineRule="auto"/>
        <w:ind w:firstLine="420" w:firstLineChars="200"/>
        <w:rPr>
          <w:rFonts w:hint="eastAsia" w:ascii="仿宋" w:hAnsi="仿宋" w:eastAsia="仿宋"/>
        </w:rPr>
      </w:pPr>
      <w:r>
        <w:rPr>
          <w:rFonts w:ascii="仿宋" w:hAnsi="仿宋" w:eastAsia="仿宋"/>
        </w:rPr>
        <w:t>（七）各级监管机构要做好案件问责政策的宣传解释工作，引导银行业金融机构开展案件自查自究，鼓励涉案人员投案自首。对于银行业金融机构从业人员在案件中不涉嫌触犯刑法，且银行业金融机构或其从业人员也无其他违法违规行为的，以及银行业金融机构主动反映、举报案件线索和自查发现、主动揭露案件的，各级监管机构在开展案防工作评估时，可视情况适当予以区别对待；对于银行业金融机构案发后瞒报或故意漏报、迟报、错报案件信息和为逃避责任有意以民事诉讼替代刑事诉讼导致损失进一步扩大等问题的，各级监管机构在开展案防工作评估时，应相应降低考核评价结果。</w:t>
      </w:r>
    </w:p>
    <w:p>
      <w:pPr>
        <w:adjustRightInd w:val="0"/>
        <w:snapToGrid w:val="0"/>
        <w:spacing w:line="312" w:lineRule="auto"/>
        <w:ind w:firstLine="420" w:firstLineChars="200"/>
        <w:rPr>
          <w:rFonts w:hint="eastAsia" w:ascii="仿宋" w:hAnsi="仿宋" w:eastAsia="仿宋"/>
        </w:rPr>
      </w:pPr>
      <w:r>
        <w:rPr>
          <w:rFonts w:ascii="仿宋" w:hAnsi="仿宋" w:eastAsia="仿宋"/>
        </w:rPr>
        <w:t>四、开展风险排查，及时发现案件风险隐患</w:t>
      </w:r>
    </w:p>
    <w:p>
      <w:pPr>
        <w:adjustRightInd w:val="0"/>
        <w:snapToGrid w:val="0"/>
        <w:spacing w:line="312" w:lineRule="auto"/>
        <w:ind w:firstLine="420" w:firstLineChars="200"/>
        <w:rPr>
          <w:rFonts w:hint="eastAsia" w:ascii="仿宋" w:hAnsi="仿宋" w:eastAsia="仿宋"/>
        </w:rPr>
      </w:pPr>
      <w:r>
        <w:rPr>
          <w:rFonts w:ascii="仿宋" w:hAnsi="仿宋" w:eastAsia="仿宋"/>
        </w:rPr>
        <w:t>（八）银行业金融机构要严格执行《银行业金融机构案件风险排查管理办法》，将案件风险排查工作制度化、常态化、规范化，结合自身业务特点、风险状况、案防形势以及监管要求，确定排查的范围和内容，组织各级分支机构认真开展排查工作。对于排查中发现的案件疑点和线索，应交由问题所在分支机构的上级案防部门直接组织深入检查，不得由分支机构自行开展检查。对于已经暴露出来的案件和风险事件，要重新审视追偿债权的诉讼方式是否合理，对于确实存在为逃避责任有意以民事诉讼替代刑事诉讼问题的，应立即整改，及时报案，尽快移送公安、司法机关。</w:t>
      </w:r>
    </w:p>
    <w:p>
      <w:pPr>
        <w:adjustRightInd w:val="0"/>
        <w:snapToGrid w:val="0"/>
        <w:spacing w:line="312" w:lineRule="auto"/>
        <w:ind w:firstLine="420" w:firstLineChars="200"/>
        <w:rPr>
          <w:rFonts w:hint="eastAsia" w:ascii="仿宋" w:hAnsi="仿宋" w:eastAsia="仿宋"/>
        </w:rPr>
      </w:pPr>
      <w:r>
        <w:rPr>
          <w:rFonts w:ascii="仿宋" w:hAnsi="仿宋" w:eastAsia="仿宋"/>
        </w:rPr>
        <w:t>（九）银行业金融机构要跟踪了解内部员工的异常行为，及时发现内部员工参与作案的线索，切实做到“早发现、早干预、早处置”，防患于未然。发现内部员工存在失职读职、违纪违法等行为的，要从严惩处，构成犯罪的，一律移送公安司法机关。</w:t>
      </w:r>
    </w:p>
    <w:p>
      <w:pPr>
        <w:adjustRightInd w:val="0"/>
        <w:snapToGrid w:val="0"/>
        <w:spacing w:line="312" w:lineRule="auto"/>
        <w:ind w:firstLine="420" w:firstLineChars="200"/>
        <w:rPr>
          <w:rFonts w:hint="eastAsia" w:ascii="仿宋" w:hAnsi="仿宋" w:eastAsia="仿宋"/>
        </w:rPr>
      </w:pPr>
      <w:r>
        <w:rPr>
          <w:rFonts w:ascii="仿宋" w:hAnsi="仿宋" w:eastAsia="仿宋"/>
        </w:rPr>
        <w:t>五、强化合规理念，提升案防制度执行力</w:t>
      </w:r>
    </w:p>
    <w:p>
      <w:pPr>
        <w:adjustRightInd w:val="0"/>
        <w:snapToGrid w:val="0"/>
        <w:spacing w:line="312" w:lineRule="auto"/>
        <w:ind w:firstLine="420" w:firstLineChars="200"/>
        <w:rPr>
          <w:rFonts w:hint="eastAsia" w:ascii="仿宋" w:hAnsi="仿宋" w:eastAsia="仿宋"/>
        </w:rPr>
      </w:pPr>
      <w:r>
        <w:rPr>
          <w:rFonts w:ascii="仿宋" w:hAnsi="仿宋" w:eastAsia="仿宋"/>
        </w:rPr>
        <w:t>（十）银行业金融机构要改进绩效考评体系，突出合规经营和风险管理的重要性，合规经营类指标和风险管理类指标权重应当明显高于其他类指标。要强化高管人员对案防工作的领导责任，督促高管人员更加重视提升案防制度执行力。</w:t>
      </w:r>
    </w:p>
    <w:p>
      <w:pPr>
        <w:adjustRightInd w:val="0"/>
        <w:snapToGrid w:val="0"/>
        <w:spacing w:line="312" w:lineRule="auto"/>
        <w:ind w:firstLine="420" w:firstLineChars="200"/>
        <w:rPr>
          <w:rFonts w:hint="eastAsia" w:ascii="仿宋" w:hAnsi="仿宋" w:eastAsia="仿宋"/>
        </w:rPr>
      </w:pPr>
      <w:r>
        <w:rPr>
          <w:rFonts w:ascii="仿宋" w:hAnsi="仿宋" w:eastAsia="仿宋"/>
        </w:rPr>
        <w:t>（十一）银行业金融机构要针对全体员工持续开展法律合规教育培训，以监管机构和银行业金融机构自身的案防制度以及《刑法》中关于金融犯罪的有关规定为主要内容，督促员工增强遵章守纪意识，树立良好的职业道德情操，营造“不想为”、“不敢为”和“不能为”的案防内控文化，切实提高员工对案防和内控制度的执行力。</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2015年9月2日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