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38" w:name="_Toc518835892"/>
      <w:bookmarkStart w:id="139" w:name="_Toc5683"/>
      <w:r>
        <w:rPr>
          <w:rFonts w:hint="eastAsia"/>
        </w:rPr>
        <w:t>45</w:t>
      </w:r>
      <w:r>
        <w:t>--</w:t>
      </w:r>
      <w:r>
        <w:rPr>
          <w:rFonts w:hint="eastAsia"/>
        </w:rPr>
        <w:t>中国银行业监督管理委员会关于交通银行上市后机构性质问题的批复</w:t>
      </w:r>
      <w:r>
        <w:br w:type="textWrapping"/>
      </w:r>
      <w:r>
        <w:rPr>
          <w:rFonts w:hint="eastAsia"/>
        </w:rPr>
        <w:t>（银监复〔2005〕115号）</w:t>
      </w:r>
      <w:bookmarkEnd w:id="138"/>
      <w:bookmarkEnd w:id="139"/>
    </w:p>
    <w:p>
      <w:pPr>
        <w:adjustRightInd w:val="0"/>
        <w:snapToGrid w:val="0"/>
        <w:spacing w:line="312" w:lineRule="auto"/>
        <w:rPr>
          <w:rFonts w:hint="eastAsia" w:ascii="仿宋" w:hAnsi="仿宋" w:eastAsia="仿宋"/>
        </w:rPr>
      </w:pPr>
      <w:r>
        <w:rPr>
          <w:rFonts w:ascii="仿宋" w:hAnsi="仿宋" w:eastAsia="仿宋"/>
        </w:rPr>
        <w:t>交通银行：</w:t>
      </w:r>
    </w:p>
    <w:p>
      <w:pPr>
        <w:adjustRightInd w:val="0"/>
        <w:snapToGrid w:val="0"/>
        <w:spacing w:line="312" w:lineRule="auto"/>
        <w:ind w:firstLine="420" w:firstLineChars="200"/>
        <w:rPr>
          <w:rFonts w:hint="eastAsia" w:ascii="仿宋" w:hAnsi="仿宋" w:eastAsia="仿宋"/>
        </w:rPr>
      </w:pPr>
      <w:r>
        <w:rPr>
          <w:rFonts w:ascii="仿宋" w:hAnsi="仿宋" w:eastAsia="仿宋"/>
        </w:rPr>
        <w:t>《交通银行关于上市后中资金融机构地位问题的请示》（交银函〔2005〕86号）收悉。现批复如下：</w:t>
      </w:r>
    </w:p>
    <w:p>
      <w:pPr>
        <w:adjustRightInd w:val="0"/>
        <w:snapToGrid w:val="0"/>
        <w:spacing w:line="312" w:lineRule="auto"/>
        <w:ind w:firstLine="420" w:firstLineChars="200"/>
        <w:rPr>
          <w:rFonts w:hint="eastAsia" w:ascii="仿宋" w:hAnsi="仿宋" w:eastAsia="仿宋"/>
        </w:rPr>
      </w:pPr>
      <w:r>
        <w:rPr>
          <w:rFonts w:ascii="仿宋" w:hAnsi="仿宋" w:eastAsia="仿宋"/>
        </w:rPr>
        <w:t>多个境外的非中资投资主体（包括金融机构和其他投资人）持有上市中资金融机构的流通股达到或超过25%的，对该上市金融机构仍应当按照中资金融机构实施监督管理。你行发行H股后，在境外金融机构持有你行的非流通股不超过25%的情况下，即使外国金融机构和其他境外投资人持股合计达到或超过25%，仍属中资金融机构，按照中资金融机构实施监督管理。</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二○○五年五月八日</w:t>
      </w:r>
    </w:p>
    <w:p>
      <w:pPr>
        <w:widowControl/>
        <w:jc w:val="left"/>
        <w:rPr>
          <w:rFonts w:hint="eastAsia" w:ascii="仿宋" w:hAnsi="仿宋" w:eastAsia="仿宋"/>
          <w:szCs w:val="21"/>
        </w:rPr>
      </w:pP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