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673" w:name="_Toc9793"/>
      <w:r>
        <w:rPr>
          <w:rFonts w:hint="eastAsia"/>
        </w:rPr>
        <w:t>459.1</w:t>
      </w:r>
      <w:r>
        <w:t>--</w:t>
      </w:r>
      <w:r>
        <w:rPr>
          <w:rFonts w:hint="eastAsia"/>
        </w:rPr>
        <w:t>国家金融监督管理总局关于印发</w:t>
      </w:r>
      <w:r>
        <w:rPr>
          <w:rFonts w:hint="eastAsia"/>
        </w:rPr>
        <w:br w:type="textWrapping"/>
      </w:r>
      <w:r>
        <w:rPr>
          <w:rFonts w:hint="eastAsia"/>
        </w:rPr>
        <w:t>《信托公司监管评级与分级分类监管暂行办法》的通知</w:t>
      </w:r>
      <w:r>
        <w:rPr>
          <w:rFonts w:hint="eastAsia"/>
        </w:rPr>
        <w:br w:type="textWrapping"/>
      </w:r>
      <w:r>
        <w:rPr>
          <w:rFonts w:hint="eastAsia"/>
        </w:rPr>
        <w:t>金规〔2023〕11号</w:t>
      </w:r>
      <w:bookmarkEnd w:id="1673"/>
    </w:p>
    <w:p>
      <w:pPr>
        <w:adjustRightInd w:val="0"/>
        <w:snapToGrid w:val="0"/>
        <w:spacing w:line="312" w:lineRule="auto"/>
        <w:rPr>
          <w:rFonts w:hint="eastAsia" w:ascii="仿宋" w:hAnsi="等线" w:eastAsia="仿宋" w:cs="仿宋"/>
        </w:rPr>
      </w:pPr>
      <w:r>
        <w:rPr>
          <w:rFonts w:hint="eastAsia" w:ascii="仿宋" w:hAnsi="等线" w:eastAsia="仿宋" w:cs="仿宋"/>
          <w:lang w:bidi="ar"/>
        </w:rPr>
        <w:t>各监管局，信托保障基金公司、信托登记公司、信托业协会：</w:t>
      </w:r>
    </w:p>
    <w:p>
      <w:pPr>
        <w:adjustRightInd w:val="0"/>
        <w:snapToGrid w:val="0"/>
        <w:spacing w:line="312" w:lineRule="auto"/>
        <w:ind w:firstLine="420" w:firstLineChars="200"/>
        <w:rPr>
          <w:rFonts w:hint="eastAsia" w:ascii="仿宋" w:hAnsi="等线" w:eastAsia="仿宋" w:cs="仿宋"/>
        </w:rPr>
      </w:pPr>
    </w:p>
    <w:p>
      <w:pPr>
        <w:adjustRightInd w:val="0"/>
        <w:snapToGrid w:val="0"/>
        <w:spacing w:line="312" w:lineRule="auto"/>
        <w:ind w:firstLine="420" w:firstLineChars="200"/>
        <w:rPr>
          <w:rFonts w:hint="eastAsia" w:ascii="仿宋" w:hAnsi="等线" w:eastAsia="仿宋" w:cs="仿宋"/>
        </w:rPr>
      </w:pPr>
      <w:r>
        <w:rPr>
          <w:rFonts w:hint="eastAsia" w:ascii="仿宋" w:hAnsi="等线" w:eastAsia="仿宋" w:cs="仿宋"/>
          <w:lang w:bidi="ar"/>
        </w:rPr>
        <w:t>现将《信托公司监管评级与分级分类监管暂行办法》印发给你们，请遵照执行。</w:t>
      </w:r>
    </w:p>
    <w:p>
      <w:pPr>
        <w:adjustRightInd w:val="0"/>
        <w:snapToGrid w:val="0"/>
        <w:spacing w:line="312" w:lineRule="auto"/>
        <w:ind w:firstLine="420" w:firstLineChars="200"/>
        <w:rPr>
          <w:rFonts w:hint="eastAsia" w:ascii="仿宋" w:hAnsi="等线" w:eastAsia="仿宋" w:cs="仿宋"/>
        </w:rPr>
      </w:pPr>
    </w:p>
    <w:p>
      <w:pPr>
        <w:adjustRightInd w:val="0"/>
        <w:snapToGrid w:val="0"/>
        <w:spacing w:line="312" w:lineRule="auto"/>
        <w:ind w:firstLine="420" w:firstLineChars="200"/>
        <w:jc w:val="right"/>
        <w:rPr>
          <w:rFonts w:hint="eastAsia" w:ascii="仿宋" w:hAnsi="等线" w:eastAsia="仿宋" w:cs="仿宋"/>
        </w:rPr>
      </w:pPr>
      <w:r>
        <w:rPr>
          <w:rFonts w:hint="eastAsia" w:ascii="仿宋" w:hAnsi="等线" w:eastAsia="仿宋" w:cs="仿宋"/>
          <w:lang w:bidi="ar"/>
        </w:rPr>
        <w:t>国家金融监督管理总局</w:t>
      </w:r>
    </w:p>
    <w:p>
      <w:pPr>
        <w:adjustRightInd w:val="0"/>
        <w:snapToGrid w:val="0"/>
        <w:spacing w:line="312" w:lineRule="auto"/>
        <w:ind w:firstLine="420" w:firstLineChars="200"/>
        <w:jc w:val="right"/>
        <w:rPr>
          <w:rFonts w:hint="eastAsia" w:ascii="仿宋" w:hAnsi="等线" w:eastAsia="仿宋" w:cs="仿宋"/>
        </w:rPr>
      </w:pPr>
      <w:r>
        <w:rPr>
          <w:rFonts w:hint="eastAsia" w:ascii="仿宋" w:hAnsi="等线" w:eastAsia="仿宋" w:cs="仿宋"/>
          <w:lang w:bidi="ar"/>
        </w:rPr>
        <w:t>2023年11月7日</w:t>
      </w:r>
    </w:p>
    <w:p>
      <w:pPr>
        <w:adjustRightInd w:val="0"/>
        <w:snapToGrid w:val="0"/>
        <w:spacing w:line="312" w:lineRule="auto"/>
        <w:ind w:firstLine="420" w:firstLineChars="200"/>
        <w:rPr>
          <w:rFonts w:hint="eastAsia" w:ascii="仿宋" w:hAnsi="等线" w:eastAsia="仿宋" w:cs="仿宋"/>
        </w:rPr>
      </w:pPr>
    </w:p>
    <w:p>
      <w:pPr>
        <w:adjustRightInd w:val="0"/>
        <w:snapToGrid w:val="0"/>
        <w:spacing w:line="312" w:lineRule="auto"/>
        <w:ind w:firstLine="420" w:firstLineChars="200"/>
        <w:rPr>
          <w:rFonts w:hint="eastAsia" w:ascii="仿宋" w:hAnsi="等线" w:eastAsia="仿宋" w:cs="仿宋"/>
        </w:rPr>
      </w:pPr>
      <w:r>
        <w:rPr>
          <w:rFonts w:hint="eastAsia" w:ascii="仿宋" w:hAnsi="等线" w:eastAsia="仿宋" w:cs="仿宋"/>
          <w:lang w:bidi="ar"/>
        </w:rPr>
        <w:t>（此件发至各监管分局）</w:t>
      </w:r>
    </w:p>
    <w:p>
      <w:pPr>
        <w:adjustRightInd w:val="0"/>
        <w:snapToGrid w:val="0"/>
        <w:spacing w:line="312" w:lineRule="auto"/>
        <w:ind w:firstLine="420" w:firstLineChars="200"/>
        <w:rPr>
          <w:rFonts w:hint="eastAsia" w:ascii="仿宋" w:hAnsi="等线" w:eastAsia="仿宋" w:cs="仿宋"/>
        </w:rPr>
      </w:pPr>
    </w:p>
    <w:p>
      <w:pPr>
        <w:adjustRightInd w:val="0"/>
        <w:snapToGrid w:val="0"/>
        <w:spacing w:line="312" w:lineRule="auto"/>
        <w:ind w:firstLine="420" w:firstLineChars="200"/>
        <w:rPr>
          <w:rFonts w:hint="eastAsia" w:ascii="仿宋" w:hAnsi="等线" w:eastAsia="仿宋" w:cs="仿宋"/>
        </w:rPr>
      </w:pPr>
    </w:p>
    <w:p>
      <w:pPr>
        <w:adjustRightInd w:val="0"/>
        <w:snapToGrid w:val="0"/>
        <w:spacing w:line="312" w:lineRule="auto"/>
        <w:ind w:firstLine="422" w:firstLineChars="200"/>
        <w:jc w:val="center"/>
        <w:rPr>
          <w:rFonts w:hint="eastAsia" w:ascii="仿宋" w:hAnsi="等线" w:eastAsia="仿宋" w:cs="仿宋"/>
          <w:b/>
          <w:bCs/>
        </w:rPr>
      </w:pPr>
      <w:r>
        <w:rPr>
          <w:rFonts w:hint="eastAsia" w:ascii="仿宋" w:hAnsi="等线" w:eastAsia="仿宋" w:cs="仿宋"/>
          <w:b/>
          <w:bCs/>
          <w:lang w:bidi="ar"/>
        </w:rPr>
        <w:t>信托公司监管评级与分级分类监管暂行办法</w:t>
      </w:r>
    </w:p>
    <w:p>
      <w:pPr>
        <w:adjustRightInd w:val="0"/>
        <w:snapToGrid w:val="0"/>
        <w:spacing w:line="312" w:lineRule="auto"/>
        <w:ind w:firstLine="422" w:firstLineChars="200"/>
        <w:jc w:val="center"/>
        <w:rPr>
          <w:rFonts w:hint="eastAsia" w:ascii="仿宋" w:hAnsi="等线" w:eastAsia="仿宋" w:cs="仿宋"/>
          <w:b/>
        </w:rPr>
      </w:pPr>
      <w:r>
        <w:rPr>
          <w:rFonts w:hint="eastAsia" w:ascii="仿宋" w:hAnsi="等线" w:eastAsia="仿宋" w:cs="仿宋"/>
          <w:b/>
          <w:lang w:bidi="ar"/>
        </w:rPr>
        <w:t>第一章  总则</w:t>
      </w:r>
    </w:p>
    <w:p>
      <w:pPr>
        <w:adjustRightInd w:val="0"/>
        <w:snapToGrid w:val="0"/>
        <w:spacing w:line="312" w:lineRule="auto"/>
        <w:ind w:firstLine="422" w:firstLineChars="200"/>
        <w:rPr>
          <w:rFonts w:hint="eastAsia" w:ascii="仿宋" w:hAnsi="等线" w:eastAsia="仿宋" w:cs="仿宋"/>
        </w:rPr>
      </w:pPr>
      <w:r>
        <w:rPr>
          <w:rFonts w:hint="eastAsia" w:ascii="仿宋" w:hAnsi="等线" w:eastAsia="仿宋" w:cs="仿宋"/>
          <w:b/>
          <w:lang w:bidi="ar"/>
        </w:rPr>
        <w:t xml:space="preserve">第一条  </w:t>
      </w:r>
      <w:r>
        <w:rPr>
          <w:rFonts w:hint="eastAsia" w:ascii="仿宋" w:hAnsi="等线" w:eastAsia="仿宋" w:cs="仿宋"/>
          <w:lang w:bidi="ar"/>
        </w:rPr>
        <w:t>为全面评估信托公司的经营稳健情况与系统性影响，有效实施分类监管，促进信托公司持续、健康运行和差异化发展，根据《中华人民共和国银行业监督管理法》、《中华人民共和国信托法》、《信托公司管理办法》（中国银行业监督管理委员会令2007年第2号）等法律法规，制定本办法。</w:t>
      </w:r>
    </w:p>
    <w:p>
      <w:pPr>
        <w:adjustRightInd w:val="0"/>
        <w:snapToGrid w:val="0"/>
        <w:spacing w:line="312" w:lineRule="auto"/>
        <w:ind w:firstLine="422" w:firstLineChars="200"/>
        <w:rPr>
          <w:rFonts w:hint="eastAsia" w:ascii="仿宋" w:hAnsi="等线" w:eastAsia="仿宋" w:cs="仿宋"/>
        </w:rPr>
      </w:pPr>
      <w:r>
        <w:rPr>
          <w:rFonts w:hint="eastAsia" w:ascii="仿宋" w:hAnsi="等线" w:eastAsia="仿宋" w:cs="仿宋"/>
          <w:b/>
          <w:lang w:bidi="ar"/>
        </w:rPr>
        <w:t xml:space="preserve">第二条  </w:t>
      </w:r>
      <w:r>
        <w:rPr>
          <w:rFonts w:hint="eastAsia" w:ascii="仿宋" w:hAnsi="等线" w:eastAsia="仿宋" w:cs="仿宋"/>
          <w:lang w:bidi="ar"/>
        </w:rPr>
        <w:t>本办法适用于在中华人民共和国境内依法设立的信托公司，开业时间不足一个会计年度和已进入破产程序的信托公司不参与监管评级。</w:t>
      </w:r>
    </w:p>
    <w:p>
      <w:pPr>
        <w:adjustRightInd w:val="0"/>
        <w:snapToGrid w:val="0"/>
        <w:spacing w:line="312" w:lineRule="auto"/>
        <w:ind w:firstLine="422" w:firstLineChars="200"/>
        <w:rPr>
          <w:rFonts w:hint="eastAsia" w:ascii="仿宋" w:hAnsi="等线" w:eastAsia="仿宋" w:cs="仿宋"/>
        </w:rPr>
      </w:pPr>
      <w:r>
        <w:rPr>
          <w:rFonts w:hint="eastAsia" w:ascii="仿宋" w:hAnsi="等线" w:eastAsia="仿宋" w:cs="仿宋"/>
          <w:b/>
          <w:lang w:bidi="ar"/>
        </w:rPr>
        <w:t xml:space="preserve">第三条  </w:t>
      </w:r>
      <w:r>
        <w:rPr>
          <w:rFonts w:hint="eastAsia" w:ascii="仿宋" w:hAnsi="等线" w:eastAsia="仿宋" w:cs="仿宋"/>
          <w:lang w:bidi="ar"/>
        </w:rPr>
        <w:t>信托公司监管评级是指金融监管总局及其派出机构结合日常监管掌握的情况以及其他相关信息，按照本办法对信托公司的管理状况和整体风险作出评价判断的监管工作。</w:t>
      </w:r>
    </w:p>
    <w:p>
      <w:pPr>
        <w:adjustRightInd w:val="0"/>
        <w:snapToGrid w:val="0"/>
        <w:spacing w:line="312" w:lineRule="auto"/>
        <w:ind w:firstLine="420" w:firstLineChars="200"/>
        <w:rPr>
          <w:rFonts w:hint="eastAsia" w:ascii="仿宋" w:hAnsi="等线" w:eastAsia="仿宋" w:cs="仿宋"/>
        </w:rPr>
      </w:pPr>
      <w:r>
        <w:rPr>
          <w:rFonts w:hint="eastAsia" w:ascii="仿宋" w:hAnsi="等线" w:eastAsia="仿宋" w:cs="仿宋"/>
          <w:lang w:bidi="ar"/>
        </w:rPr>
        <w:t>信托公司系统性影响评估是指金融监管总局结合日常监管掌握的相关信息，按照本办法就单家信托公司经营状况对金融体系整体稳健性和服务实体经济能力的影响程度作出判断的监管工作。</w:t>
      </w:r>
    </w:p>
    <w:p>
      <w:pPr>
        <w:adjustRightInd w:val="0"/>
        <w:snapToGrid w:val="0"/>
        <w:spacing w:line="312" w:lineRule="auto"/>
        <w:ind w:firstLine="420" w:firstLineChars="200"/>
        <w:rPr>
          <w:rFonts w:hint="eastAsia" w:ascii="仿宋" w:hAnsi="等线" w:eastAsia="仿宋" w:cs="仿宋"/>
        </w:rPr>
      </w:pPr>
      <w:r>
        <w:rPr>
          <w:rFonts w:hint="eastAsia" w:ascii="仿宋" w:hAnsi="等线" w:eastAsia="仿宋" w:cs="仿宋"/>
          <w:lang w:bidi="ar"/>
        </w:rPr>
        <w:t>信托公司监管评级和系统性影响评估结果是实施分类监管的基础。</w:t>
      </w:r>
    </w:p>
    <w:p>
      <w:pPr>
        <w:adjustRightInd w:val="0"/>
        <w:snapToGrid w:val="0"/>
        <w:spacing w:line="312" w:lineRule="auto"/>
        <w:ind w:firstLine="420" w:firstLineChars="200"/>
        <w:rPr>
          <w:rFonts w:hint="eastAsia" w:ascii="仿宋" w:hAnsi="等线" w:eastAsia="仿宋" w:cs="仿宋"/>
        </w:rPr>
      </w:pPr>
      <w:r>
        <w:rPr>
          <w:rFonts w:hint="eastAsia" w:ascii="仿宋" w:hAnsi="等线" w:eastAsia="仿宋" w:cs="仿宋"/>
          <w:lang w:bidi="ar"/>
        </w:rPr>
        <w:t>金融监管总局及其派出机构以下统称监管机构。</w:t>
      </w:r>
    </w:p>
    <w:p>
      <w:pPr>
        <w:adjustRightInd w:val="0"/>
        <w:snapToGrid w:val="0"/>
        <w:spacing w:line="312" w:lineRule="auto"/>
        <w:ind w:firstLine="422" w:firstLineChars="200"/>
        <w:rPr>
          <w:rFonts w:hint="eastAsia" w:ascii="仿宋" w:hAnsi="等线" w:eastAsia="仿宋" w:cs="仿宋"/>
        </w:rPr>
      </w:pPr>
      <w:r>
        <w:rPr>
          <w:rFonts w:hint="eastAsia" w:ascii="仿宋" w:hAnsi="等线" w:eastAsia="仿宋" w:cs="仿宋"/>
          <w:b/>
          <w:lang w:bidi="ar"/>
        </w:rPr>
        <w:t xml:space="preserve">第四条  </w:t>
      </w:r>
      <w:r>
        <w:rPr>
          <w:rFonts w:hint="eastAsia" w:ascii="仿宋" w:hAnsi="等线" w:eastAsia="仿宋" w:cs="仿宋"/>
          <w:lang w:bidi="ar"/>
        </w:rPr>
        <w:t>分类监管是指监管机构根据信托公司年度监管评级结果及系统性影响评估结果，对不同级别和具有系统性影响的信托公司在市场准入、经营范围、监管标准、监管强度、监管资源配置以及采取特定监管措施等方面实施区别对待的监管政策。</w:t>
      </w:r>
    </w:p>
    <w:p>
      <w:pPr>
        <w:adjustRightInd w:val="0"/>
        <w:snapToGrid w:val="0"/>
        <w:spacing w:line="312" w:lineRule="auto"/>
        <w:ind w:firstLine="422" w:firstLineChars="200"/>
        <w:rPr>
          <w:rFonts w:hint="eastAsia" w:ascii="仿宋" w:hAnsi="等线" w:eastAsia="仿宋" w:cs="仿宋"/>
        </w:rPr>
      </w:pPr>
      <w:r>
        <w:rPr>
          <w:rFonts w:hint="eastAsia" w:ascii="仿宋" w:hAnsi="等线" w:eastAsia="仿宋" w:cs="仿宋"/>
          <w:b/>
          <w:lang w:bidi="ar"/>
        </w:rPr>
        <w:t xml:space="preserve">第五条  </w:t>
      </w:r>
      <w:r>
        <w:rPr>
          <w:rFonts w:hint="eastAsia" w:ascii="仿宋" w:hAnsi="等线" w:eastAsia="仿宋" w:cs="仿宋"/>
          <w:lang w:bidi="ar"/>
        </w:rPr>
        <w:t>信托公司的监管评级和系统性影响评估工作由监管机构按照依法合规、客观公正、全面审慎的原则组织实施。</w:t>
      </w:r>
    </w:p>
    <w:p>
      <w:pPr>
        <w:adjustRightInd w:val="0"/>
        <w:snapToGrid w:val="0"/>
        <w:spacing w:line="312" w:lineRule="auto"/>
        <w:ind w:firstLine="422" w:firstLineChars="200"/>
        <w:jc w:val="center"/>
        <w:rPr>
          <w:rFonts w:hint="eastAsia" w:ascii="仿宋" w:hAnsi="等线" w:eastAsia="仿宋" w:cs="仿宋"/>
          <w:b/>
        </w:rPr>
      </w:pPr>
      <w:r>
        <w:rPr>
          <w:rFonts w:hint="eastAsia" w:ascii="仿宋" w:hAnsi="等线" w:eastAsia="仿宋" w:cs="仿宋"/>
          <w:b/>
          <w:lang w:bidi="ar"/>
        </w:rPr>
        <w:t>第二章  监管评级要素与评级方法</w:t>
      </w:r>
    </w:p>
    <w:p>
      <w:pPr>
        <w:adjustRightInd w:val="0"/>
        <w:snapToGrid w:val="0"/>
        <w:spacing w:line="312" w:lineRule="auto"/>
        <w:ind w:firstLine="422" w:firstLineChars="200"/>
        <w:rPr>
          <w:rFonts w:hint="eastAsia" w:ascii="仿宋" w:hAnsi="等线" w:eastAsia="仿宋" w:cs="仿宋"/>
        </w:rPr>
      </w:pPr>
      <w:r>
        <w:rPr>
          <w:rFonts w:hint="eastAsia" w:ascii="仿宋" w:hAnsi="等线" w:eastAsia="仿宋" w:cs="仿宋"/>
          <w:b/>
          <w:lang w:bidi="ar"/>
        </w:rPr>
        <w:t xml:space="preserve">第六条  </w:t>
      </w:r>
      <w:r>
        <w:rPr>
          <w:rFonts w:hint="eastAsia" w:ascii="仿宋" w:hAnsi="等线" w:eastAsia="仿宋" w:cs="仿宋"/>
          <w:lang w:bidi="ar"/>
        </w:rPr>
        <w:t>信托公司监管评级包括公司治理、资本要求、风险管理、行为管理、业务转型等五个模块。各模块内设置若干评级要素，由定性要素和定量指标组成。</w:t>
      </w:r>
    </w:p>
    <w:p>
      <w:pPr>
        <w:adjustRightInd w:val="0"/>
        <w:snapToGrid w:val="0"/>
        <w:spacing w:line="312" w:lineRule="auto"/>
        <w:ind w:firstLine="420" w:firstLineChars="200"/>
        <w:rPr>
          <w:rFonts w:hint="eastAsia" w:ascii="仿宋" w:hAnsi="等线" w:eastAsia="仿宋" w:cs="仿宋"/>
        </w:rPr>
      </w:pPr>
      <w:r>
        <w:rPr>
          <w:rFonts w:hint="eastAsia" w:ascii="仿宋" w:hAnsi="等线" w:eastAsia="仿宋" w:cs="仿宋"/>
          <w:lang w:bidi="ar"/>
        </w:rPr>
        <w:t>信托公司监管评级方法主要包含以下内容：</w:t>
      </w:r>
    </w:p>
    <w:p>
      <w:pPr>
        <w:adjustRightInd w:val="0"/>
        <w:snapToGrid w:val="0"/>
        <w:spacing w:line="312" w:lineRule="auto"/>
        <w:ind w:firstLine="420" w:firstLineChars="200"/>
        <w:rPr>
          <w:rFonts w:hint="eastAsia" w:ascii="仿宋" w:hAnsi="等线" w:eastAsia="仿宋" w:cs="仿宋"/>
        </w:rPr>
      </w:pPr>
      <w:r>
        <w:rPr>
          <w:rFonts w:hint="eastAsia" w:ascii="仿宋" w:hAnsi="等线" w:eastAsia="仿宋" w:cs="仿宋"/>
          <w:lang w:bidi="ar"/>
        </w:rPr>
        <w:t>（一）评级模块权重设置。评级满分为100分，各评级模块的分值权重如下：公司治理（20%），资本要求（20%），风险管理（20%），行为管理（30%），业务转型（10%）。</w:t>
      </w:r>
    </w:p>
    <w:p>
      <w:pPr>
        <w:adjustRightInd w:val="0"/>
        <w:snapToGrid w:val="0"/>
        <w:spacing w:line="312" w:lineRule="auto"/>
        <w:ind w:firstLine="420" w:firstLineChars="200"/>
        <w:rPr>
          <w:rFonts w:hint="eastAsia" w:ascii="仿宋" w:hAnsi="等线" w:eastAsia="仿宋" w:cs="仿宋"/>
        </w:rPr>
      </w:pPr>
      <w:r>
        <w:rPr>
          <w:rFonts w:hint="eastAsia" w:ascii="仿宋" w:hAnsi="等线" w:eastAsia="仿宋" w:cs="仿宋"/>
          <w:lang w:bidi="ar"/>
        </w:rPr>
        <w:t>（二）评级要素得分。对各评级要素设定分值，其中对定性要素设定评价要点和评分原则，对定量指标明确指标值要求。评级要素得分由监管评级人员根据公司实际情况，对照评价要点、评分原则及指标值要求，结合专业判断确定。</w:t>
      </w:r>
    </w:p>
    <w:p>
      <w:pPr>
        <w:adjustRightInd w:val="0"/>
        <w:snapToGrid w:val="0"/>
        <w:spacing w:line="312" w:lineRule="auto"/>
        <w:ind w:firstLine="420" w:firstLineChars="200"/>
        <w:rPr>
          <w:rFonts w:hint="eastAsia" w:ascii="仿宋" w:hAnsi="等线" w:eastAsia="仿宋" w:cs="仿宋"/>
        </w:rPr>
      </w:pPr>
      <w:r>
        <w:rPr>
          <w:rFonts w:hint="eastAsia" w:ascii="仿宋" w:hAnsi="等线" w:eastAsia="仿宋" w:cs="仿宋"/>
          <w:lang w:bidi="ar"/>
        </w:rPr>
        <w:t>（三）评级模块得分。评级模块得分为各评级要素得分加总。</w:t>
      </w:r>
    </w:p>
    <w:p>
      <w:pPr>
        <w:adjustRightInd w:val="0"/>
        <w:snapToGrid w:val="0"/>
        <w:spacing w:line="312" w:lineRule="auto"/>
        <w:ind w:firstLine="420" w:firstLineChars="200"/>
        <w:rPr>
          <w:rFonts w:hint="eastAsia" w:ascii="仿宋" w:hAnsi="等线" w:eastAsia="仿宋" w:cs="仿宋"/>
        </w:rPr>
      </w:pPr>
      <w:r>
        <w:rPr>
          <w:rFonts w:hint="eastAsia" w:ascii="仿宋" w:hAnsi="等线" w:eastAsia="仿宋" w:cs="仿宋"/>
          <w:lang w:bidi="ar"/>
        </w:rPr>
        <w:t>（四）评级得分。评级得分由各评级模块得分按照模块权重加权汇总后获得。</w:t>
      </w:r>
    </w:p>
    <w:p>
      <w:pPr>
        <w:adjustRightInd w:val="0"/>
        <w:snapToGrid w:val="0"/>
        <w:spacing w:line="312" w:lineRule="auto"/>
        <w:ind w:firstLine="420" w:firstLineChars="200"/>
        <w:rPr>
          <w:rFonts w:hint="eastAsia" w:ascii="仿宋" w:hAnsi="等线" w:eastAsia="仿宋" w:cs="仿宋"/>
        </w:rPr>
      </w:pPr>
      <w:r>
        <w:rPr>
          <w:rFonts w:hint="eastAsia" w:ascii="仿宋" w:hAnsi="等线" w:eastAsia="仿宋" w:cs="仿宋"/>
          <w:lang w:bidi="ar"/>
        </w:rPr>
        <w:t>（五）等级确定。根据评级得分确定信托公司监管评级的初步级别。在此基础上，结合监管评级调整因素形成监管评级结果。</w:t>
      </w:r>
    </w:p>
    <w:p>
      <w:pPr>
        <w:adjustRightInd w:val="0"/>
        <w:snapToGrid w:val="0"/>
        <w:spacing w:line="312" w:lineRule="auto"/>
        <w:ind w:firstLine="422" w:firstLineChars="200"/>
        <w:rPr>
          <w:rFonts w:hint="eastAsia" w:ascii="仿宋" w:hAnsi="等线" w:eastAsia="仿宋" w:cs="仿宋"/>
        </w:rPr>
      </w:pPr>
      <w:r>
        <w:rPr>
          <w:rFonts w:hint="eastAsia" w:ascii="仿宋" w:hAnsi="等线" w:eastAsia="仿宋" w:cs="仿宋"/>
          <w:b/>
          <w:lang w:bidi="ar"/>
        </w:rPr>
        <w:t xml:space="preserve">第七条  </w:t>
      </w:r>
      <w:r>
        <w:rPr>
          <w:rFonts w:hint="eastAsia" w:ascii="仿宋" w:hAnsi="等线" w:eastAsia="仿宋" w:cs="仿宋"/>
          <w:lang w:bidi="ar"/>
        </w:rPr>
        <w:t>信托公司在评价期内存在下列情形之一的，监管机构可调增其初评得分：</w:t>
      </w:r>
    </w:p>
    <w:p>
      <w:pPr>
        <w:adjustRightInd w:val="0"/>
        <w:snapToGrid w:val="0"/>
        <w:spacing w:line="312" w:lineRule="auto"/>
        <w:ind w:firstLine="420" w:firstLineChars="200"/>
        <w:rPr>
          <w:rFonts w:hint="eastAsia" w:ascii="仿宋" w:hAnsi="等线" w:eastAsia="仿宋" w:cs="仿宋"/>
        </w:rPr>
      </w:pPr>
      <w:r>
        <w:rPr>
          <w:rFonts w:hint="eastAsia" w:ascii="仿宋" w:hAnsi="等线" w:eastAsia="仿宋" w:cs="仿宋"/>
          <w:lang w:bidi="ar"/>
        </w:rPr>
        <w:t>（一）持续正常经营的公司，公司注册资本增加10%（含）以上；</w:t>
      </w:r>
    </w:p>
    <w:p>
      <w:pPr>
        <w:adjustRightInd w:val="0"/>
        <w:snapToGrid w:val="0"/>
        <w:spacing w:line="312" w:lineRule="auto"/>
        <w:ind w:firstLine="420" w:firstLineChars="200"/>
        <w:rPr>
          <w:rFonts w:hint="eastAsia" w:ascii="仿宋" w:hAnsi="等线" w:eastAsia="仿宋" w:cs="仿宋"/>
        </w:rPr>
      </w:pPr>
      <w:r>
        <w:rPr>
          <w:rFonts w:hint="eastAsia" w:ascii="仿宋" w:hAnsi="等线" w:eastAsia="仿宋" w:cs="仿宋"/>
          <w:lang w:bidi="ar"/>
        </w:rPr>
        <w:t>（二）协助监管机构对其他金融机构进行风险处置；</w:t>
      </w:r>
    </w:p>
    <w:p>
      <w:pPr>
        <w:adjustRightInd w:val="0"/>
        <w:snapToGrid w:val="0"/>
        <w:spacing w:line="312" w:lineRule="auto"/>
        <w:ind w:firstLine="420" w:firstLineChars="200"/>
        <w:rPr>
          <w:rFonts w:hint="eastAsia" w:ascii="仿宋" w:hAnsi="等线" w:eastAsia="仿宋" w:cs="仿宋"/>
        </w:rPr>
      </w:pPr>
      <w:r>
        <w:rPr>
          <w:rFonts w:hint="eastAsia" w:ascii="仿宋" w:hAnsi="等线" w:eastAsia="仿宋" w:cs="仿宋"/>
          <w:lang w:bidi="ar"/>
        </w:rPr>
        <w:t>（三）监管机构认可的其他情形。</w:t>
      </w:r>
    </w:p>
    <w:p>
      <w:pPr>
        <w:adjustRightInd w:val="0"/>
        <w:snapToGrid w:val="0"/>
        <w:spacing w:line="312" w:lineRule="auto"/>
        <w:ind w:firstLine="422" w:firstLineChars="200"/>
        <w:rPr>
          <w:rFonts w:hint="eastAsia" w:ascii="仿宋" w:hAnsi="等线" w:eastAsia="仿宋" w:cs="仿宋"/>
        </w:rPr>
      </w:pPr>
      <w:r>
        <w:rPr>
          <w:rFonts w:hint="eastAsia" w:ascii="仿宋" w:hAnsi="等线" w:eastAsia="仿宋" w:cs="仿宋"/>
          <w:b/>
          <w:lang w:bidi="ar"/>
        </w:rPr>
        <w:t xml:space="preserve">第八条  </w:t>
      </w:r>
      <w:r>
        <w:rPr>
          <w:rFonts w:hint="eastAsia" w:ascii="仿宋" w:hAnsi="等线" w:eastAsia="仿宋" w:cs="仿宋"/>
          <w:lang w:bidi="ar"/>
        </w:rPr>
        <w:t>信托公司在评价期内存在下列情形的，监管机构应下调其初评结果。</w:t>
      </w:r>
    </w:p>
    <w:p>
      <w:pPr>
        <w:adjustRightInd w:val="0"/>
        <w:snapToGrid w:val="0"/>
        <w:spacing w:line="312" w:lineRule="auto"/>
        <w:ind w:firstLine="420" w:firstLineChars="200"/>
        <w:rPr>
          <w:rFonts w:hint="eastAsia" w:ascii="仿宋" w:hAnsi="等线" w:eastAsia="仿宋" w:cs="仿宋"/>
        </w:rPr>
      </w:pPr>
      <w:r>
        <w:rPr>
          <w:rFonts w:hint="eastAsia" w:ascii="仿宋" w:hAnsi="等线" w:eastAsia="仿宋" w:cs="仿宋"/>
          <w:lang w:bidi="ar"/>
        </w:rPr>
        <w:t>（一）存在下列情形之一的，初评结果下调一个级别：</w:t>
      </w:r>
    </w:p>
    <w:p>
      <w:pPr>
        <w:adjustRightInd w:val="0"/>
        <w:snapToGrid w:val="0"/>
        <w:spacing w:line="312" w:lineRule="auto"/>
        <w:ind w:firstLine="420" w:firstLineChars="200"/>
        <w:rPr>
          <w:rFonts w:hint="eastAsia" w:ascii="仿宋" w:hAnsi="等线" w:eastAsia="仿宋" w:cs="仿宋"/>
        </w:rPr>
      </w:pPr>
      <w:r>
        <w:rPr>
          <w:rFonts w:hint="eastAsia" w:ascii="仿宋" w:hAnsi="等线" w:eastAsia="仿宋" w:cs="仿宋"/>
          <w:lang w:bidi="ar"/>
        </w:rPr>
        <w:t>1.多次或大量开展为其他金融机构提供监管套利的通道业务；</w:t>
      </w:r>
    </w:p>
    <w:p>
      <w:pPr>
        <w:adjustRightInd w:val="0"/>
        <w:snapToGrid w:val="0"/>
        <w:spacing w:line="312" w:lineRule="auto"/>
        <w:ind w:firstLine="420" w:firstLineChars="200"/>
        <w:rPr>
          <w:rFonts w:hint="eastAsia" w:ascii="仿宋" w:hAnsi="等线" w:eastAsia="仿宋" w:cs="仿宋"/>
        </w:rPr>
      </w:pPr>
      <w:r>
        <w:rPr>
          <w:rFonts w:hint="eastAsia" w:ascii="仿宋" w:hAnsi="等线" w:eastAsia="仿宋" w:cs="仿宋"/>
          <w:lang w:bidi="ar"/>
        </w:rPr>
        <w:t>2.多次向不合格投资者销售信托产品；</w:t>
      </w:r>
    </w:p>
    <w:p>
      <w:pPr>
        <w:adjustRightInd w:val="0"/>
        <w:snapToGrid w:val="0"/>
        <w:spacing w:line="312" w:lineRule="auto"/>
        <w:ind w:firstLine="420" w:firstLineChars="200"/>
        <w:rPr>
          <w:rFonts w:hint="eastAsia" w:ascii="仿宋" w:hAnsi="等线" w:eastAsia="仿宋" w:cs="仿宋"/>
        </w:rPr>
      </w:pPr>
      <w:r>
        <w:rPr>
          <w:rFonts w:hint="eastAsia" w:ascii="仿宋" w:hAnsi="等线" w:eastAsia="仿宋" w:cs="仿宋"/>
          <w:lang w:bidi="ar"/>
        </w:rPr>
        <w:t>3.向信托产品投资者大量出具兜底承诺函；</w:t>
      </w:r>
    </w:p>
    <w:p>
      <w:pPr>
        <w:adjustRightInd w:val="0"/>
        <w:snapToGrid w:val="0"/>
        <w:spacing w:line="312" w:lineRule="auto"/>
        <w:ind w:firstLine="420" w:firstLineChars="200"/>
        <w:rPr>
          <w:rFonts w:hint="eastAsia" w:ascii="仿宋" w:hAnsi="等线" w:eastAsia="仿宋" w:cs="仿宋"/>
        </w:rPr>
      </w:pPr>
      <w:r>
        <w:rPr>
          <w:rFonts w:hint="eastAsia" w:ascii="仿宋" w:hAnsi="等线" w:eastAsia="仿宋" w:cs="仿宋"/>
          <w:lang w:bidi="ar"/>
        </w:rPr>
        <w:t>4.新开展非标资金池业务；</w:t>
      </w:r>
    </w:p>
    <w:p>
      <w:pPr>
        <w:adjustRightInd w:val="0"/>
        <w:snapToGrid w:val="0"/>
        <w:spacing w:line="312" w:lineRule="auto"/>
        <w:ind w:firstLine="420" w:firstLineChars="200"/>
        <w:rPr>
          <w:rFonts w:hint="eastAsia" w:ascii="仿宋" w:hAnsi="等线" w:eastAsia="仿宋" w:cs="仿宋"/>
        </w:rPr>
      </w:pPr>
      <w:r>
        <w:rPr>
          <w:rFonts w:hint="eastAsia" w:ascii="仿宋" w:hAnsi="等线" w:eastAsia="仿宋" w:cs="仿宋"/>
          <w:lang w:bidi="ar"/>
        </w:rPr>
        <w:t>5.违反资管新规要求对信托产品进行刚性兑付；</w:t>
      </w:r>
    </w:p>
    <w:p>
      <w:pPr>
        <w:adjustRightInd w:val="0"/>
        <w:snapToGrid w:val="0"/>
        <w:spacing w:line="312" w:lineRule="auto"/>
        <w:ind w:firstLine="420" w:firstLineChars="200"/>
        <w:rPr>
          <w:rFonts w:hint="eastAsia" w:ascii="仿宋" w:hAnsi="等线" w:eastAsia="仿宋" w:cs="仿宋"/>
        </w:rPr>
      </w:pPr>
      <w:r>
        <w:rPr>
          <w:rFonts w:hint="eastAsia" w:ascii="仿宋" w:hAnsi="等线" w:eastAsia="仿宋" w:cs="仿宋"/>
          <w:lang w:bidi="ar"/>
        </w:rPr>
        <w:t>6.违规从事未经批准的业务。</w:t>
      </w:r>
    </w:p>
    <w:p>
      <w:pPr>
        <w:adjustRightInd w:val="0"/>
        <w:snapToGrid w:val="0"/>
        <w:spacing w:line="312" w:lineRule="auto"/>
        <w:ind w:firstLine="420" w:firstLineChars="200"/>
        <w:rPr>
          <w:rFonts w:hint="eastAsia" w:ascii="仿宋" w:hAnsi="等线" w:eastAsia="仿宋" w:cs="仿宋"/>
        </w:rPr>
      </w:pPr>
      <w:r>
        <w:rPr>
          <w:rFonts w:hint="eastAsia" w:ascii="仿宋" w:hAnsi="等线" w:eastAsia="仿宋" w:cs="仿宋"/>
          <w:lang w:bidi="ar"/>
        </w:rPr>
        <w:t>（二）存在下列情形之一的，初评结果下调两个级别：</w:t>
      </w:r>
    </w:p>
    <w:p>
      <w:pPr>
        <w:adjustRightInd w:val="0"/>
        <w:snapToGrid w:val="0"/>
        <w:spacing w:line="312" w:lineRule="auto"/>
        <w:ind w:firstLine="420" w:firstLineChars="200"/>
        <w:rPr>
          <w:rFonts w:hint="eastAsia" w:ascii="仿宋" w:hAnsi="等线" w:eastAsia="仿宋" w:cs="仿宋"/>
        </w:rPr>
      </w:pPr>
      <w:r>
        <w:rPr>
          <w:rFonts w:hint="eastAsia" w:ascii="仿宋" w:hAnsi="等线" w:eastAsia="仿宋" w:cs="仿宋"/>
          <w:lang w:bidi="ar"/>
        </w:rPr>
        <w:t>1.故意向监管机构隐瞒重大事项或问题，造成严重后果；</w:t>
      </w:r>
    </w:p>
    <w:p>
      <w:pPr>
        <w:adjustRightInd w:val="0"/>
        <w:snapToGrid w:val="0"/>
        <w:spacing w:line="312" w:lineRule="auto"/>
        <w:ind w:firstLine="420" w:firstLineChars="200"/>
        <w:rPr>
          <w:rFonts w:hint="eastAsia" w:ascii="仿宋" w:hAnsi="等线" w:eastAsia="仿宋" w:cs="仿宋"/>
        </w:rPr>
      </w:pPr>
      <w:r>
        <w:rPr>
          <w:rFonts w:hint="eastAsia" w:ascii="仿宋" w:hAnsi="等线" w:eastAsia="仿宋" w:cs="仿宋"/>
          <w:lang w:bidi="ar"/>
        </w:rPr>
        <w:t>2.多次或大量开展违规关联交易，导致公司资产被占用，或严重损害投资者合法权益；</w:t>
      </w:r>
    </w:p>
    <w:p>
      <w:pPr>
        <w:adjustRightInd w:val="0"/>
        <w:snapToGrid w:val="0"/>
        <w:spacing w:line="312" w:lineRule="auto"/>
        <w:ind w:firstLine="420" w:firstLineChars="200"/>
        <w:rPr>
          <w:rFonts w:hint="eastAsia" w:ascii="仿宋" w:hAnsi="等线" w:eastAsia="仿宋" w:cs="仿宋"/>
        </w:rPr>
      </w:pPr>
      <w:r>
        <w:rPr>
          <w:rFonts w:hint="eastAsia" w:ascii="仿宋" w:hAnsi="等线" w:eastAsia="仿宋" w:cs="仿宋"/>
          <w:lang w:bidi="ar"/>
        </w:rPr>
        <w:t>3.发生重大涉刑案件，引发重大业务风险或不良社会影响。对自查发现的涉刑案件，公司主动消除或减轻危害后果的，可只下调一个级别。</w:t>
      </w:r>
    </w:p>
    <w:p>
      <w:pPr>
        <w:adjustRightInd w:val="0"/>
        <w:snapToGrid w:val="0"/>
        <w:spacing w:line="312" w:lineRule="auto"/>
        <w:ind w:firstLine="420" w:firstLineChars="200"/>
        <w:rPr>
          <w:rFonts w:hint="eastAsia" w:ascii="仿宋" w:hAnsi="等线" w:eastAsia="仿宋" w:cs="仿宋"/>
        </w:rPr>
      </w:pPr>
      <w:r>
        <w:rPr>
          <w:rFonts w:hint="eastAsia" w:ascii="仿宋" w:hAnsi="等线" w:eastAsia="仿宋" w:cs="仿宋"/>
          <w:lang w:bidi="ar"/>
        </w:rPr>
        <w:t>（三）出现下列重大负面因素之一，导致公司出现重大经营风险的，监管评级结果不得高于5级：党的建设严重弱化，公司治理存在严重缺陷，财务造假、数据造假问题严重等。</w:t>
      </w:r>
    </w:p>
    <w:p>
      <w:pPr>
        <w:adjustRightInd w:val="0"/>
        <w:snapToGrid w:val="0"/>
        <w:spacing w:line="312" w:lineRule="auto"/>
        <w:ind w:firstLine="420" w:firstLineChars="200"/>
        <w:rPr>
          <w:rFonts w:hint="eastAsia" w:ascii="仿宋" w:hAnsi="等线" w:eastAsia="仿宋" w:cs="仿宋"/>
        </w:rPr>
      </w:pPr>
      <w:r>
        <w:rPr>
          <w:rFonts w:hint="eastAsia" w:ascii="仿宋" w:hAnsi="等线" w:eastAsia="仿宋" w:cs="仿宋"/>
          <w:lang w:bidi="ar"/>
        </w:rPr>
        <w:t>（四）监管机构认定的其他应下调监管评级级别的情形，视情节严重程度决定下调幅度。</w:t>
      </w:r>
    </w:p>
    <w:p>
      <w:pPr>
        <w:adjustRightInd w:val="0"/>
        <w:snapToGrid w:val="0"/>
        <w:spacing w:line="312" w:lineRule="auto"/>
        <w:ind w:firstLine="422" w:firstLineChars="200"/>
        <w:rPr>
          <w:rFonts w:hint="eastAsia" w:ascii="仿宋" w:hAnsi="等线" w:eastAsia="仿宋" w:cs="仿宋"/>
        </w:rPr>
      </w:pPr>
      <w:r>
        <w:rPr>
          <w:rFonts w:hint="eastAsia" w:ascii="仿宋" w:hAnsi="等线" w:eastAsia="仿宋" w:cs="仿宋"/>
          <w:b/>
          <w:lang w:bidi="ar"/>
        </w:rPr>
        <w:t xml:space="preserve">第九条  </w:t>
      </w:r>
      <w:r>
        <w:rPr>
          <w:rFonts w:hint="eastAsia" w:ascii="仿宋" w:hAnsi="等线" w:eastAsia="仿宋" w:cs="仿宋"/>
          <w:lang w:bidi="ar"/>
        </w:rPr>
        <w:t>信托公司的监管评级结果分为1</w:t>
      </w:r>
      <w:r>
        <w:rPr>
          <w:rFonts w:hint="eastAsia" w:ascii="仿宋" w:hAnsi="等线" w:eastAsia="仿宋" w:cs="Times New Roman"/>
          <w:lang w:bidi="ar"/>
        </w:rPr>
        <w:t>—</w:t>
      </w:r>
      <w:r>
        <w:rPr>
          <w:rFonts w:hint="eastAsia" w:ascii="仿宋" w:hAnsi="等线" w:eastAsia="仿宋" w:cs="仿宋"/>
          <w:lang w:bidi="ar"/>
        </w:rPr>
        <w:t>6级，数值越大反映机构风险越大，需要越高程度的监管关注。其中，监管评级最终得分在90分（含）以上为1级，80分（含）</w:t>
      </w:r>
      <w:r>
        <w:rPr>
          <w:rFonts w:hint="eastAsia" w:ascii="仿宋" w:hAnsi="等线" w:eastAsia="仿宋" w:cs="Times New Roman"/>
          <w:lang w:bidi="ar"/>
        </w:rPr>
        <w:t>—</w:t>
      </w:r>
      <w:r>
        <w:rPr>
          <w:rFonts w:hint="eastAsia" w:ascii="仿宋" w:hAnsi="等线" w:eastAsia="仿宋" w:cs="仿宋"/>
          <w:lang w:bidi="ar"/>
        </w:rPr>
        <w:t>90分为2级；70分（含）</w:t>
      </w:r>
      <w:r>
        <w:rPr>
          <w:rFonts w:hint="eastAsia" w:ascii="仿宋" w:hAnsi="等线" w:eastAsia="仿宋" w:cs="Times New Roman"/>
          <w:lang w:bidi="ar"/>
        </w:rPr>
        <w:t>—</w:t>
      </w:r>
      <w:r>
        <w:rPr>
          <w:rFonts w:hint="eastAsia" w:ascii="仿宋" w:hAnsi="等线" w:eastAsia="仿宋" w:cs="仿宋"/>
          <w:lang w:bidi="ar"/>
        </w:rPr>
        <w:t>80分为3级，60分（含）</w:t>
      </w:r>
      <w:r>
        <w:rPr>
          <w:rFonts w:hint="eastAsia" w:ascii="仿宋" w:hAnsi="等线" w:eastAsia="仿宋" w:cs="Times New Roman"/>
          <w:lang w:bidi="ar"/>
        </w:rPr>
        <w:t>—</w:t>
      </w:r>
      <w:r>
        <w:rPr>
          <w:rFonts w:hint="eastAsia" w:ascii="仿宋" w:hAnsi="等线" w:eastAsia="仿宋" w:cs="仿宋"/>
          <w:lang w:bidi="ar"/>
        </w:rPr>
        <w:t>70分为4级；40分（含）</w:t>
      </w:r>
      <w:r>
        <w:rPr>
          <w:rFonts w:hint="eastAsia" w:ascii="仿宋" w:hAnsi="等线" w:eastAsia="仿宋" w:cs="Times New Roman"/>
          <w:lang w:bidi="ar"/>
        </w:rPr>
        <w:t>—</w:t>
      </w:r>
      <w:r>
        <w:rPr>
          <w:rFonts w:hint="eastAsia" w:ascii="仿宋" w:hAnsi="等线" w:eastAsia="仿宋" w:cs="仿宋"/>
          <w:lang w:bidi="ar"/>
        </w:rPr>
        <w:t>60分为5级；40分以下为6级。监管评级结果3级（含）以上为良好。</w:t>
      </w:r>
    </w:p>
    <w:p>
      <w:pPr>
        <w:adjustRightInd w:val="0"/>
        <w:snapToGrid w:val="0"/>
        <w:spacing w:line="312" w:lineRule="auto"/>
        <w:ind w:firstLine="422" w:firstLineChars="200"/>
        <w:rPr>
          <w:rFonts w:hint="eastAsia" w:ascii="仿宋" w:hAnsi="等线" w:eastAsia="仿宋" w:cs="仿宋"/>
        </w:rPr>
      </w:pPr>
      <w:r>
        <w:rPr>
          <w:rFonts w:hint="eastAsia" w:ascii="仿宋" w:hAnsi="等线" w:eastAsia="仿宋" w:cs="仿宋"/>
          <w:b/>
          <w:lang w:bidi="ar"/>
        </w:rPr>
        <w:t xml:space="preserve">第十条  </w:t>
      </w:r>
      <w:r>
        <w:rPr>
          <w:rFonts w:hint="eastAsia" w:ascii="仿宋" w:hAnsi="等线" w:eastAsia="仿宋" w:cs="仿宋"/>
          <w:lang w:bidi="ar"/>
        </w:rPr>
        <w:t>金融监管总局每年可根据行业监管要点、信托公司的经营情况和风险特征，适当调整评级要素、评价要点和评分原则，并于每年监管评级工作开展前明确。</w:t>
      </w:r>
    </w:p>
    <w:p>
      <w:pPr>
        <w:adjustRightInd w:val="0"/>
        <w:snapToGrid w:val="0"/>
        <w:spacing w:line="312" w:lineRule="auto"/>
        <w:ind w:firstLine="422" w:firstLineChars="200"/>
        <w:jc w:val="center"/>
        <w:rPr>
          <w:rFonts w:hint="eastAsia" w:ascii="仿宋" w:hAnsi="等线" w:eastAsia="仿宋" w:cs="仿宋"/>
          <w:b/>
        </w:rPr>
      </w:pPr>
      <w:r>
        <w:rPr>
          <w:rFonts w:hint="eastAsia" w:ascii="仿宋" w:hAnsi="等线" w:eastAsia="仿宋" w:cs="仿宋"/>
          <w:b/>
          <w:lang w:bidi="ar"/>
        </w:rPr>
        <w:t>第三章  监管评级组织实施</w:t>
      </w:r>
    </w:p>
    <w:p>
      <w:pPr>
        <w:adjustRightInd w:val="0"/>
        <w:snapToGrid w:val="0"/>
        <w:spacing w:line="312" w:lineRule="auto"/>
        <w:ind w:firstLine="422" w:firstLineChars="200"/>
        <w:rPr>
          <w:rFonts w:hint="eastAsia" w:ascii="仿宋" w:hAnsi="等线" w:eastAsia="仿宋" w:cs="仿宋"/>
        </w:rPr>
      </w:pPr>
      <w:r>
        <w:rPr>
          <w:rFonts w:hint="eastAsia" w:ascii="仿宋" w:hAnsi="等线" w:eastAsia="仿宋" w:cs="仿宋"/>
          <w:b/>
          <w:lang w:bidi="ar"/>
        </w:rPr>
        <w:t xml:space="preserve">第十一条  </w:t>
      </w:r>
      <w:r>
        <w:rPr>
          <w:rFonts w:hint="eastAsia" w:ascii="仿宋" w:hAnsi="等线" w:eastAsia="仿宋" w:cs="仿宋"/>
          <w:lang w:bidi="ar"/>
        </w:rPr>
        <w:t>信托公司的监管评级周期为一年，评价期间为上一年1月1日至12月31日。上年度评级全部工作原则上应于每年4月底前完成。</w:t>
      </w:r>
    </w:p>
    <w:p>
      <w:pPr>
        <w:adjustRightInd w:val="0"/>
        <w:snapToGrid w:val="0"/>
        <w:spacing w:line="312" w:lineRule="auto"/>
        <w:ind w:firstLine="422" w:firstLineChars="200"/>
        <w:rPr>
          <w:rFonts w:hint="eastAsia" w:ascii="仿宋" w:hAnsi="等线" w:eastAsia="仿宋" w:cs="仿宋"/>
        </w:rPr>
      </w:pPr>
      <w:r>
        <w:rPr>
          <w:rFonts w:hint="eastAsia" w:ascii="仿宋" w:hAnsi="等线" w:eastAsia="仿宋" w:cs="仿宋"/>
          <w:b/>
          <w:lang w:bidi="ar"/>
        </w:rPr>
        <w:t xml:space="preserve">第十二条  </w:t>
      </w:r>
      <w:r>
        <w:rPr>
          <w:rFonts w:hint="eastAsia" w:ascii="仿宋" w:hAnsi="等线" w:eastAsia="仿宋" w:cs="仿宋"/>
          <w:lang w:bidi="ar"/>
        </w:rPr>
        <w:t>信托公司监管评级由金融监管总局信托监管部门牵头组织，相关部门协助，各派出机构具体实施。按照派出机构初评、金融监管总局复核、监管评级结果反馈、档案归集的程序进行。</w:t>
      </w:r>
    </w:p>
    <w:p>
      <w:pPr>
        <w:adjustRightInd w:val="0"/>
        <w:snapToGrid w:val="0"/>
        <w:spacing w:line="312" w:lineRule="auto"/>
        <w:ind w:firstLine="422" w:firstLineChars="200"/>
        <w:rPr>
          <w:rFonts w:hint="eastAsia" w:ascii="仿宋" w:hAnsi="等线" w:eastAsia="仿宋" w:cs="仿宋"/>
        </w:rPr>
      </w:pPr>
      <w:r>
        <w:rPr>
          <w:rFonts w:hint="eastAsia" w:ascii="仿宋" w:hAnsi="等线" w:eastAsia="仿宋" w:cs="仿宋"/>
          <w:b/>
          <w:lang w:bidi="ar"/>
        </w:rPr>
        <w:t xml:space="preserve">第十三条  </w:t>
      </w:r>
      <w:r>
        <w:rPr>
          <w:rFonts w:hint="eastAsia" w:ascii="仿宋" w:hAnsi="等线" w:eastAsia="仿宋" w:cs="仿宋"/>
          <w:lang w:bidi="ar"/>
        </w:rPr>
        <w:t>金融监管总局有序推动信托公司监管评级工作线上化，进行评级流程跟踪和管理，增强信托公司监管评级工作的规范性和准确性。</w:t>
      </w:r>
    </w:p>
    <w:p>
      <w:pPr>
        <w:adjustRightInd w:val="0"/>
        <w:snapToGrid w:val="0"/>
        <w:spacing w:line="312" w:lineRule="auto"/>
        <w:ind w:firstLine="422" w:firstLineChars="200"/>
        <w:rPr>
          <w:rFonts w:hint="eastAsia" w:ascii="仿宋" w:hAnsi="等线" w:eastAsia="仿宋" w:cs="仿宋"/>
        </w:rPr>
      </w:pPr>
      <w:r>
        <w:rPr>
          <w:rFonts w:hint="eastAsia" w:ascii="仿宋" w:hAnsi="等线" w:eastAsia="仿宋" w:cs="仿宋"/>
          <w:b/>
          <w:lang w:bidi="ar"/>
        </w:rPr>
        <w:t xml:space="preserve">第十四条  </w:t>
      </w:r>
      <w:r>
        <w:rPr>
          <w:rFonts w:hint="eastAsia" w:ascii="仿宋" w:hAnsi="等线" w:eastAsia="仿宋" w:cs="仿宋"/>
          <w:lang w:bidi="ar"/>
        </w:rPr>
        <w:t>信托公司应按照本办法如实向金融监管总局派出机构提供相关数据和信息，反映自身情况、存在的问题以及被采取的监管措施，并于每年3月1日前上报金融监管总局派出机构。金融监管总局派出机构发现数据和信息失真时，应及时与信托公司核实，并采用修正后的数据和信息进行监管评级。</w:t>
      </w:r>
    </w:p>
    <w:p>
      <w:pPr>
        <w:adjustRightInd w:val="0"/>
        <w:snapToGrid w:val="0"/>
        <w:spacing w:line="312" w:lineRule="auto"/>
        <w:ind w:firstLine="420" w:firstLineChars="200"/>
        <w:rPr>
          <w:rFonts w:hint="eastAsia" w:ascii="仿宋" w:hAnsi="等线" w:eastAsia="仿宋" w:cs="仿宋"/>
        </w:rPr>
      </w:pPr>
      <w:r>
        <w:rPr>
          <w:rFonts w:hint="eastAsia" w:ascii="仿宋" w:hAnsi="等线" w:eastAsia="仿宋" w:cs="仿宋"/>
          <w:lang w:bidi="ar"/>
        </w:rPr>
        <w:t>金融监管总局派出机构应持续、全面、深入收集监管评级所需的各类信息，包括但不限于：非现场监管信息、现场检查报告、监管专项报告，公司有关制度办法、内外部审计报告、年度经营计划等经营管理文件，信访和违法举报信息及其他重要内外部信息等。</w:t>
      </w:r>
    </w:p>
    <w:p>
      <w:pPr>
        <w:adjustRightInd w:val="0"/>
        <w:snapToGrid w:val="0"/>
        <w:spacing w:line="312" w:lineRule="auto"/>
        <w:ind w:firstLine="422" w:firstLineChars="200"/>
        <w:rPr>
          <w:rFonts w:hint="eastAsia" w:ascii="仿宋" w:hAnsi="等线" w:eastAsia="仿宋" w:cs="仿宋"/>
        </w:rPr>
      </w:pPr>
      <w:r>
        <w:rPr>
          <w:rFonts w:hint="eastAsia" w:ascii="仿宋" w:hAnsi="等线" w:eastAsia="仿宋" w:cs="仿宋"/>
          <w:b/>
          <w:lang w:bidi="ar"/>
        </w:rPr>
        <w:t xml:space="preserve">第十五条  </w:t>
      </w:r>
      <w:r>
        <w:rPr>
          <w:rFonts w:hint="eastAsia" w:ascii="仿宋" w:hAnsi="等线" w:eastAsia="仿宋" w:cs="仿宋"/>
          <w:lang w:bidi="ar"/>
        </w:rPr>
        <w:t>监管评级初评由金融监管总局派出机构的机构监管部门牵头实施，初评过程中应充分征求现场检查、信息科技、消费者权益保护等相关监管部门意见。金融监管总局派出机构应综合分析信托公司相关信息，按照本办法规定的评级方法和标准，开展监管评级初评，形成初评结果。</w:t>
      </w:r>
    </w:p>
    <w:p>
      <w:pPr>
        <w:adjustRightInd w:val="0"/>
        <w:snapToGrid w:val="0"/>
        <w:spacing w:line="312" w:lineRule="auto"/>
        <w:ind w:firstLine="420" w:firstLineChars="200"/>
        <w:rPr>
          <w:rFonts w:hint="eastAsia" w:ascii="仿宋" w:hAnsi="等线" w:eastAsia="仿宋" w:cs="仿宋"/>
        </w:rPr>
      </w:pPr>
      <w:r>
        <w:rPr>
          <w:rFonts w:hint="eastAsia" w:ascii="仿宋" w:hAnsi="等线" w:eastAsia="仿宋" w:cs="仿宋"/>
          <w:lang w:bidi="ar"/>
        </w:rPr>
        <w:t>初评结果由金融监管总局派出机构于每年3月31日前向金融监管总局报送。</w:t>
      </w:r>
    </w:p>
    <w:p>
      <w:pPr>
        <w:adjustRightInd w:val="0"/>
        <w:snapToGrid w:val="0"/>
        <w:spacing w:line="312" w:lineRule="auto"/>
        <w:ind w:firstLine="420" w:firstLineChars="200"/>
        <w:rPr>
          <w:rFonts w:hint="eastAsia" w:ascii="仿宋" w:hAnsi="等线" w:eastAsia="仿宋" w:cs="仿宋"/>
        </w:rPr>
      </w:pPr>
      <w:r>
        <w:rPr>
          <w:rFonts w:hint="eastAsia" w:ascii="仿宋" w:hAnsi="等线" w:eastAsia="仿宋" w:cs="仿宋"/>
          <w:lang w:bidi="ar"/>
        </w:rPr>
        <w:t>初评对每一项评级要素的评价应分析深入、理由充分、判断合理，准确反映信托公司的实际状况，必要时可以通过现场走访、监管会谈等方式就有关问题进行核查。</w:t>
      </w:r>
    </w:p>
    <w:p>
      <w:pPr>
        <w:adjustRightInd w:val="0"/>
        <w:snapToGrid w:val="0"/>
        <w:spacing w:line="312" w:lineRule="auto"/>
        <w:ind w:firstLine="422" w:firstLineChars="200"/>
        <w:rPr>
          <w:rFonts w:hint="eastAsia" w:ascii="仿宋" w:hAnsi="等线" w:eastAsia="仿宋" w:cs="仿宋"/>
        </w:rPr>
      </w:pPr>
      <w:r>
        <w:rPr>
          <w:rFonts w:hint="eastAsia" w:ascii="仿宋" w:hAnsi="等线" w:eastAsia="仿宋" w:cs="仿宋"/>
          <w:b/>
          <w:lang w:bidi="ar"/>
        </w:rPr>
        <w:t xml:space="preserve">第十六条  </w:t>
      </w:r>
      <w:r>
        <w:rPr>
          <w:rFonts w:hint="eastAsia" w:ascii="仿宋" w:hAnsi="等线" w:eastAsia="仿宋" w:cs="仿宋"/>
          <w:lang w:bidi="ar"/>
        </w:rPr>
        <w:t>金融监管总局对监管评级初评结果进行复核，确定信托公司监管评级最终结果，并将最终结果反馈金融监管总局派出机构。</w:t>
      </w:r>
    </w:p>
    <w:p>
      <w:pPr>
        <w:adjustRightInd w:val="0"/>
        <w:snapToGrid w:val="0"/>
        <w:spacing w:line="312" w:lineRule="auto"/>
        <w:ind w:firstLine="422" w:firstLineChars="200"/>
        <w:rPr>
          <w:rFonts w:hint="eastAsia" w:ascii="仿宋" w:hAnsi="等线" w:eastAsia="仿宋" w:cs="仿宋"/>
        </w:rPr>
      </w:pPr>
      <w:r>
        <w:rPr>
          <w:rFonts w:hint="eastAsia" w:ascii="仿宋" w:hAnsi="等线" w:eastAsia="仿宋" w:cs="仿宋"/>
          <w:b/>
          <w:lang w:bidi="ar"/>
        </w:rPr>
        <w:t xml:space="preserve">第十七条  </w:t>
      </w:r>
      <w:r>
        <w:rPr>
          <w:rFonts w:hint="eastAsia" w:ascii="仿宋" w:hAnsi="等线" w:eastAsia="仿宋" w:cs="仿宋"/>
          <w:lang w:bidi="ar"/>
        </w:rPr>
        <w:t>金融监管总局派出机构应将信托公司的最终评级结果以及存在的主要风险和问题，通过监管会谈、非现场监管意见书、监管通报等方式通报给信托公司，并提出监管意见和整改要求。</w:t>
      </w:r>
    </w:p>
    <w:p>
      <w:pPr>
        <w:adjustRightInd w:val="0"/>
        <w:snapToGrid w:val="0"/>
        <w:spacing w:line="312" w:lineRule="auto"/>
        <w:ind w:firstLine="420" w:firstLineChars="200"/>
        <w:rPr>
          <w:rFonts w:hint="eastAsia" w:ascii="仿宋" w:hAnsi="等线" w:eastAsia="仿宋" w:cs="仿宋"/>
        </w:rPr>
      </w:pPr>
      <w:r>
        <w:rPr>
          <w:rFonts w:hint="eastAsia" w:ascii="仿宋" w:hAnsi="等线" w:eastAsia="仿宋" w:cs="仿宋"/>
          <w:lang w:bidi="ar"/>
        </w:rPr>
        <w:t>金融监管总局派出机构应加强对信托公司单个模块评级得分情况的持续关注，对于单个模块得分低于该模块满分60%或连续两年得分下降明显的，应视情况督促信托公司制定改善该模块的整改计划，并依法采取相应监管措施和行动。</w:t>
      </w:r>
    </w:p>
    <w:p>
      <w:pPr>
        <w:adjustRightInd w:val="0"/>
        <w:snapToGrid w:val="0"/>
        <w:spacing w:line="312" w:lineRule="auto"/>
        <w:ind w:firstLine="422" w:firstLineChars="200"/>
        <w:rPr>
          <w:rFonts w:hint="eastAsia" w:ascii="仿宋" w:hAnsi="等线" w:eastAsia="仿宋" w:cs="仿宋"/>
        </w:rPr>
      </w:pPr>
      <w:r>
        <w:rPr>
          <w:rFonts w:hint="eastAsia" w:ascii="仿宋" w:hAnsi="等线" w:eastAsia="仿宋" w:cs="仿宋"/>
          <w:b/>
          <w:lang w:bidi="ar"/>
        </w:rPr>
        <w:t xml:space="preserve">第十八条  </w:t>
      </w:r>
      <w:r>
        <w:rPr>
          <w:rFonts w:hint="eastAsia" w:ascii="仿宋" w:hAnsi="等线" w:eastAsia="仿宋" w:cs="仿宋"/>
          <w:lang w:bidi="ar"/>
        </w:rPr>
        <w:t>年度监管评级工作结束后，信托公司因公司治理和股权管理出现重大变化、发生重大突发事件或重大涉刑案件、出现流动性危机、发生对监管评级产生实质性影响的其他重大事件等，导致管理状况或风险发生重大变化的，金融监管总局派出机构可申请对监管评级结果进行动态调整。</w:t>
      </w:r>
    </w:p>
    <w:p>
      <w:pPr>
        <w:adjustRightInd w:val="0"/>
        <w:snapToGrid w:val="0"/>
        <w:spacing w:line="312" w:lineRule="auto"/>
        <w:ind w:firstLine="420" w:firstLineChars="200"/>
        <w:rPr>
          <w:rFonts w:hint="eastAsia" w:ascii="仿宋" w:hAnsi="等线" w:eastAsia="仿宋" w:cs="仿宋"/>
        </w:rPr>
      </w:pPr>
      <w:r>
        <w:rPr>
          <w:rFonts w:hint="eastAsia" w:ascii="仿宋" w:hAnsi="等线" w:eastAsia="仿宋" w:cs="仿宋"/>
          <w:lang w:bidi="ar"/>
        </w:rPr>
        <w:t>监管评级动态调整应履行初评、复核、结果反馈和资料存档等程序。</w:t>
      </w:r>
    </w:p>
    <w:p>
      <w:pPr>
        <w:adjustRightInd w:val="0"/>
        <w:snapToGrid w:val="0"/>
        <w:spacing w:line="312" w:lineRule="auto"/>
        <w:ind w:firstLine="422" w:firstLineChars="200"/>
        <w:rPr>
          <w:rFonts w:hint="eastAsia" w:ascii="仿宋" w:hAnsi="等线" w:eastAsia="仿宋" w:cs="仿宋"/>
        </w:rPr>
      </w:pPr>
      <w:r>
        <w:rPr>
          <w:rFonts w:hint="eastAsia" w:ascii="仿宋" w:hAnsi="等线" w:eastAsia="仿宋" w:cs="仿宋"/>
          <w:b/>
          <w:lang w:bidi="ar"/>
        </w:rPr>
        <w:t xml:space="preserve">第十九条  </w:t>
      </w:r>
      <w:r>
        <w:rPr>
          <w:rFonts w:hint="eastAsia" w:ascii="仿宋" w:hAnsi="等线" w:eastAsia="仿宋" w:cs="仿宋"/>
          <w:lang w:bidi="ar"/>
        </w:rPr>
        <w:t>评级工作全部结束后，监管机构应做好评级信息、评级工作底稿、评级结果、评级结果反馈等相关文件、材料的存档工作。</w:t>
      </w:r>
    </w:p>
    <w:p>
      <w:pPr>
        <w:adjustRightInd w:val="0"/>
        <w:snapToGrid w:val="0"/>
        <w:spacing w:line="312" w:lineRule="auto"/>
        <w:ind w:firstLine="422" w:firstLineChars="200"/>
        <w:rPr>
          <w:rFonts w:hint="eastAsia" w:ascii="仿宋" w:hAnsi="等线" w:eastAsia="仿宋" w:cs="仿宋"/>
        </w:rPr>
      </w:pPr>
      <w:r>
        <w:rPr>
          <w:rFonts w:hint="eastAsia" w:ascii="仿宋" w:hAnsi="等线" w:eastAsia="仿宋" w:cs="仿宋"/>
          <w:b/>
          <w:lang w:bidi="ar"/>
        </w:rPr>
        <w:t xml:space="preserve">第二十条  </w:t>
      </w:r>
      <w:r>
        <w:rPr>
          <w:rFonts w:hint="eastAsia" w:ascii="仿宋" w:hAnsi="等线" w:eastAsia="仿宋" w:cs="仿宋"/>
          <w:lang w:bidi="ar"/>
        </w:rPr>
        <w:t>信托公司的监管评级结果应作为综合衡量信托公司经营状况、管理能力和风险水平的重要依据。</w:t>
      </w:r>
    </w:p>
    <w:p>
      <w:pPr>
        <w:adjustRightInd w:val="0"/>
        <w:snapToGrid w:val="0"/>
        <w:spacing w:line="312" w:lineRule="auto"/>
        <w:ind w:firstLine="420" w:firstLineChars="200"/>
        <w:rPr>
          <w:rFonts w:hint="eastAsia" w:ascii="仿宋" w:hAnsi="等线" w:eastAsia="仿宋" w:cs="仿宋"/>
        </w:rPr>
      </w:pPr>
      <w:r>
        <w:rPr>
          <w:rFonts w:hint="eastAsia" w:ascii="仿宋" w:hAnsi="等线" w:eastAsia="仿宋" w:cs="仿宋"/>
          <w:lang w:bidi="ar"/>
        </w:rPr>
        <w:t>监管评级结果为1级，表示信托公司经营管理各方面较为健全，出现的问题较为轻微，且能够通过改善日常经营管理来解决，具有较强的风险抵御能力。</w:t>
      </w:r>
    </w:p>
    <w:p>
      <w:pPr>
        <w:adjustRightInd w:val="0"/>
        <w:snapToGrid w:val="0"/>
        <w:spacing w:line="312" w:lineRule="auto"/>
        <w:ind w:firstLine="420" w:firstLineChars="200"/>
        <w:rPr>
          <w:rFonts w:hint="eastAsia" w:ascii="仿宋" w:hAnsi="等线" w:eastAsia="仿宋" w:cs="仿宋"/>
        </w:rPr>
      </w:pPr>
      <w:r>
        <w:rPr>
          <w:rFonts w:hint="eastAsia" w:ascii="仿宋" w:hAnsi="等线" w:eastAsia="仿宋" w:cs="仿宋"/>
          <w:lang w:bidi="ar"/>
        </w:rPr>
        <w:t>监管评级结果为2级，表示信托公司经营管理各方面基本健全，风险抵御能力良好，存在一些需要在日常经营管理中予以纠正的问题，需引起公司和监管机构的关注。</w:t>
      </w:r>
    </w:p>
    <w:p>
      <w:pPr>
        <w:adjustRightInd w:val="0"/>
        <w:snapToGrid w:val="0"/>
        <w:spacing w:line="312" w:lineRule="auto"/>
        <w:ind w:firstLine="420" w:firstLineChars="200"/>
        <w:rPr>
          <w:rFonts w:hint="eastAsia" w:ascii="仿宋" w:hAnsi="等线" w:eastAsia="仿宋" w:cs="仿宋"/>
        </w:rPr>
      </w:pPr>
      <w:r>
        <w:rPr>
          <w:rFonts w:hint="eastAsia" w:ascii="仿宋" w:hAnsi="等线" w:eastAsia="仿宋" w:cs="仿宋"/>
          <w:lang w:bidi="ar"/>
        </w:rPr>
        <w:t>监管评级结果为3级，表示信托公司经营管理存在一些明显问题，虽基本能够抵御经营环境变化带来的风险挑战，但存在的问题若未能及时纠正，则可能导致经营困难及风险状况劣化，应给予重点关注并采取必要的监管措施。</w:t>
      </w:r>
    </w:p>
    <w:p>
      <w:pPr>
        <w:adjustRightInd w:val="0"/>
        <w:snapToGrid w:val="0"/>
        <w:spacing w:line="312" w:lineRule="auto"/>
        <w:ind w:firstLine="420" w:firstLineChars="200"/>
        <w:rPr>
          <w:rFonts w:hint="eastAsia" w:ascii="仿宋" w:hAnsi="等线" w:eastAsia="仿宋" w:cs="仿宋"/>
        </w:rPr>
      </w:pPr>
      <w:r>
        <w:rPr>
          <w:rFonts w:hint="eastAsia" w:ascii="仿宋" w:hAnsi="等线" w:eastAsia="仿宋" w:cs="仿宋"/>
          <w:lang w:bidi="ar"/>
        </w:rPr>
        <w:t>监管评级结果为4级，表示信托公司经营管理存在较多或较为严重的问题，且未得到有效处理或解决，很可能影响其持续经营能力，需要监管高度关注，立即采取纠正措施。</w:t>
      </w:r>
    </w:p>
    <w:p>
      <w:pPr>
        <w:adjustRightInd w:val="0"/>
        <w:snapToGrid w:val="0"/>
        <w:spacing w:line="312" w:lineRule="auto"/>
        <w:ind w:firstLine="420" w:firstLineChars="200"/>
        <w:rPr>
          <w:rFonts w:hint="eastAsia" w:ascii="仿宋" w:hAnsi="等线" w:eastAsia="仿宋" w:cs="仿宋"/>
        </w:rPr>
      </w:pPr>
      <w:r>
        <w:rPr>
          <w:rFonts w:hint="eastAsia" w:ascii="仿宋" w:hAnsi="等线" w:eastAsia="仿宋" w:cs="仿宋"/>
          <w:lang w:bidi="ar"/>
        </w:rPr>
        <w:t>监管评级结果为5级，表示信托公司经营管理存在非常严重的问题，风险较高，很可能陷入经营困境，需要加强盯防式监管或贴身监管。监管机构可根据需要，依法对信托公司划拨资金、处置资产、调配人员、使用印章、订立以及履行合同等经营管理活动进行管控。同时，督促公司及股东立即采取自救措施，通过市场化重组、破产重整等措施进行风险处置，以避免经营失败。</w:t>
      </w:r>
    </w:p>
    <w:p>
      <w:pPr>
        <w:adjustRightInd w:val="0"/>
        <w:snapToGrid w:val="0"/>
        <w:spacing w:line="312" w:lineRule="auto"/>
        <w:ind w:firstLine="420" w:firstLineChars="200"/>
        <w:rPr>
          <w:rFonts w:hint="eastAsia" w:ascii="仿宋" w:hAnsi="等线" w:eastAsia="仿宋" w:cs="仿宋"/>
        </w:rPr>
      </w:pPr>
      <w:r>
        <w:rPr>
          <w:rFonts w:hint="eastAsia" w:ascii="仿宋" w:hAnsi="等线" w:eastAsia="仿宋" w:cs="仿宋"/>
          <w:lang w:bidi="ar"/>
        </w:rPr>
        <w:t>监管评级结果为6级，表示信托公司经营管理混乱，风险很高，已经超出机构自身及其股东的自救能力范围，可能或已经发生信用危机，个别机构已丧失持续经营能力，必要时需进行提级监管或行政接管，以避免对金融稳定产生不利影响。被金融监管总局认定为高风险机构的信托公司，无需参与初评，评级结果直接定为6级。</w:t>
      </w:r>
    </w:p>
    <w:p>
      <w:pPr>
        <w:adjustRightInd w:val="0"/>
        <w:snapToGrid w:val="0"/>
        <w:spacing w:line="312" w:lineRule="auto"/>
        <w:ind w:firstLine="422" w:firstLineChars="200"/>
        <w:rPr>
          <w:rFonts w:hint="eastAsia" w:ascii="仿宋" w:hAnsi="等线" w:eastAsia="仿宋" w:cs="仿宋"/>
        </w:rPr>
      </w:pPr>
      <w:r>
        <w:rPr>
          <w:rFonts w:hint="eastAsia" w:ascii="仿宋" w:hAnsi="等线" w:eastAsia="仿宋" w:cs="仿宋"/>
          <w:b/>
          <w:lang w:bidi="ar"/>
        </w:rPr>
        <w:t xml:space="preserve">第二十一条  </w:t>
      </w:r>
      <w:r>
        <w:rPr>
          <w:rFonts w:hint="eastAsia" w:ascii="仿宋" w:hAnsi="等线" w:eastAsia="仿宋" w:cs="仿宋"/>
          <w:lang w:bidi="ar"/>
        </w:rPr>
        <w:t>金融监管总局对年度监管评级工作开展情况和评级结果进行分析，并结合实际情况，适时对监管评级工作及效果进行后评价，总结经验和教训，持续改进完善信托公司监管评级体系。</w:t>
      </w:r>
    </w:p>
    <w:p>
      <w:pPr>
        <w:adjustRightInd w:val="0"/>
        <w:snapToGrid w:val="0"/>
        <w:spacing w:line="312" w:lineRule="auto"/>
        <w:ind w:firstLine="422" w:firstLineChars="200"/>
        <w:rPr>
          <w:rFonts w:hint="eastAsia" w:ascii="仿宋" w:hAnsi="等线" w:eastAsia="仿宋" w:cs="仿宋"/>
        </w:rPr>
      </w:pPr>
      <w:r>
        <w:rPr>
          <w:rFonts w:hint="eastAsia" w:ascii="仿宋" w:hAnsi="等线" w:eastAsia="仿宋" w:cs="仿宋"/>
          <w:b/>
          <w:lang w:bidi="ar"/>
        </w:rPr>
        <w:t xml:space="preserve">第二十二条  </w:t>
      </w:r>
      <w:r>
        <w:rPr>
          <w:rFonts w:hint="eastAsia" w:ascii="仿宋" w:hAnsi="等线" w:eastAsia="仿宋" w:cs="仿宋"/>
          <w:lang w:bidi="ar"/>
        </w:rPr>
        <w:t>中国信托业保障基金有限责任公司、中国信托登记有限责任公司、中国信托业协会应积极配合监管机构，为监管评级工作提供支持。</w:t>
      </w:r>
    </w:p>
    <w:p>
      <w:pPr>
        <w:adjustRightInd w:val="0"/>
        <w:snapToGrid w:val="0"/>
        <w:spacing w:line="312" w:lineRule="auto"/>
        <w:ind w:firstLine="422" w:firstLineChars="200"/>
        <w:jc w:val="center"/>
        <w:rPr>
          <w:rFonts w:hint="eastAsia" w:ascii="仿宋" w:hAnsi="等线" w:eastAsia="仿宋" w:cs="仿宋"/>
          <w:b/>
        </w:rPr>
      </w:pPr>
      <w:r>
        <w:rPr>
          <w:rFonts w:hint="eastAsia" w:ascii="仿宋" w:hAnsi="等线" w:eastAsia="仿宋" w:cs="仿宋"/>
          <w:b/>
          <w:lang w:bidi="ar"/>
        </w:rPr>
        <w:t>第四章  系统性影响评估</w:t>
      </w:r>
    </w:p>
    <w:p>
      <w:pPr>
        <w:adjustRightInd w:val="0"/>
        <w:snapToGrid w:val="0"/>
        <w:spacing w:line="312" w:lineRule="auto"/>
        <w:ind w:firstLine="422" w:firstLineChars="200"/>
        <w:rPr>
          <w:rFonts w:hint="eastAsia" w:ascii="仿宋" w:hAnsi="等线" w:eastAsia="仿宋" w:cs="仿宋"/>
        </w:rPr>
      </w:pPr>
      <w:r>
        <w:rPr>
          <w:rFonts w:hint="eastAsia" w:ascii="仿宋" w:hAnsi="等线" w:eastAsia="仿宋" w:cs="仿宋"/>
          <w:b/>
          <w:lang w:bidi="ar"/>
        </w:rPr>
        <w:t xml:space="preserve">第二十三条  </w:t>
      </w:r>
      <w:r>
        <w:rPr>
          <w:rFonts w:hint="eastAsia" w:ascii="仿宋" w:hAnsi="等线" w:eastAsia="仿宋" w:cs="仿宋"/>
          <w:lang w:bidi="ar"/>
        </w:rPr>
        <w:t>信托公司系统性影响评估要素包括公司受托管理的各类信托资产规模，资产管理类信托自然人投资者人数、金融机构投资者数量及相关信托资产规模，同业负债余额等。</w:t>
      </w:r>
    </w:p>
    <w:p>
      <w:pPr>
        <w:adjustRightInd w:val="0"/>
        <w:snapToGrid w:val="0"/>
        <w:spacing w:line="312" w:lineRule="auto"/>
        <w:ind w:firstLine="422" w:firstLineChars="200"/>
        <w:rPr>
          <w:rFonts w:hint="eastAsia" w:ascii="仿宋" w:hAnsi="等线" w:eastAsia="仿宋" w:cs="仿宋"/>
        </w:rPr>
      </w:pPr>
      <w:r>
        <w:rPr>
          <w:rFonts w:hint="eastAsia" w:ascii="仿宋" w:hAnsi="等线" w:eastAsia="仿宋" w:cs="仿宋"/>
          <w:b/>
          <w:lang w:bidi="ar"/>
        </w:rPr>
        <w:t xml:space="preserve">第二十四条  </w:t>
      </w:r>
      <w:r>
        <w:rPr>
          <w:rFonts w:hint="eastAsia" w:ascii="仿宋" w:hAnsi="等线" w:eastAsia="仿宋" w:cs="仿宋"/>
          <w:lang w:bidi="ar"/>
        </w:rPr>
        <w:t>金融监管总局牵头开展信托公司系统性影响评估，派出机构负责数值报送、结果运用等工作。金融监管总局选定上一年度末全部信托业务实收信托规模最大的30家信托公司作为参评机构，并按照以下方法对参评机构的行业影响力进行评估：</w:t>
      </w:r>
    </w:p>
    <w:p>
      <w:pPr>
        <w:adjustRightInd w:val="0"/>
        <w:snapToGrid w:val="0"/>
        <w:spacing w:line="312" w:lineRule="auto"/>
        <w:ind w:firstLine="420" w:firstLineChars="200"/>
        <w:rPr>
          <w:rFonts w:hint="eastAsia" w:ascii="仿宋" w:hAnsi="等线" w:eastAsia="仿宋" w:cs="仿宋"/>
        </w:rPr>
      </w:pPr>
      <w:r>
        <w:rPr>
          <w:rFonts w:hint="eastAsia" w:ascii="仿宋" w:hAnsi="等线" w:eastAsia="仿宋" w:cs="仿宋"/>
          <w:lang w:bidi="ar"/>
        </w:rPr>
        <w:t>（一）评估要素及权重设置。各评估要素及权重分配如下：资产管理类信托资产规模（25%）、资产服务类信托资产规模（10%）、公益慈善类信托资产规模（5%）、资产管理类信托自然人投资者人数（25%）、资产管理类信托金融机构投资者数量（15%）及金融机构认购的信托资产规模（15%）、同业负债余额（5%）。金融监管总局可根据行业风险特征和业务复杂程度，每年适当调整评估要素和各要素具体权重。</w:t>
      </w:r>
    </w:p>
    <w:p>
      <w:pPr>
        <w:adjustRightInd w:val="0"/>
        <w:snapToGrid w:val="0"/>
        <w:spacing w:line="312" w:lineRule="auto"/>
        <w:ind w:firstLine="420" w:firstLineChars="200"/>
        <w:rPr>
          <w:rFonts w:hint="eastAsia" w:ascii="仿宋" w:hAnsi="等线" w:eastAsia="仿宋" w:cs="仿宋"/>
        </w:rPr>
      </w:pPr>
      <w:r>
        <w:rPr>
          <w:rFonts w:hint="eastAsia" w:ascii="仿宋" w:hAnsi="等线" w:eastAsia="仿宋" w:cs="仿宋"/>
          <w:lang w:bidi="ar"/>
        </w:rPr>
        <w:t>（二）评估要素得分。对参评机构单一评估要素按数值大小排序后分段给分。</w:t>
      </w:r>
    </w:p>
    <w:p>
      <w:pPr>
        <w:adjustRightInd w:val="0"/>
        <w:snapToGrid w:val="0"/>
        <w:spacing w:line="312" w:lineRule="auto"/>
        <w:ind w:firstLine="420" w:firstLineChars="200"/>
        <w:rPr>
          <w:rFonts w:hint="eastAsia" w:ascii="仿宋" w:hAnsi="等线" w:eastAsia="仿宋" w:cs="仿宋"/>
        </w:rPr>
      </w:pPr>
      <w:r>
        <w:rPr>
          <w:rFonts w:hint="eastAsia" w:ascii="仿宋" w:hAnsi="等线" w:eastAsia="仿宋" w:cs="仿宋"/>
          <w:lang w:bidi="ar"/>
        </w:rPr>
        <w:t>（三）评估总分。评估总分由各评估要素得分加权汇总后获得。</w:t>
      </w:r>
    </w:p>
    <w:p>
      <w:pPr>
        <w:adjustRightInd w:val="0"/>
        <w:snapToGrid w:val="0"/>
        <w:spacing w:line="312" w:lineRule="auto"/>
        <w:ind w:firstLine="420" w:firstLineChars="200"/>
        <w:rPr>
          <w:rFonts w:hint="eastAsia" w:ascii="仿宋" w:hAnsi="等线" w:eastAsia="仿宋" w:cs="仿宋"/>
        </w:rPr>
      </w:pPr>
      <w:r>
        <w:rPr>
          <w:rFonts w:hint="eastAsia" w:ascii="仿宋" w:hAnsi="等线" w:eastAsia="仿宋" w:cs="仿宋"/>
          <w:lang w:bidi="ar"/>
        </w:rPr>
        <w:t>（四）评估结果。评估总分在85分以上（含）的为具有系统性影响的信托公司。</w:t>
      </w:r>
    </w:p>
    <w:p>
      <w:pPr>
        <w:adjustRightInd w:val="0"/>
        <w:snapToGrid w:val="0"/>
        <w:spacing w:line="312" w:lineRule="auto"/>
        <w:ind w:firstLine="422" w:firstLineChars="200"/>
        <w:rPr>
          <w:rFonts w:hint="eastAsia" w:ascii="仿宋" w:hAnsi="等线" w:eastAsia="仿宋" w:cs="仿宋"/>
        </w:rPr>
      </w:pPr>
      <w:r>
        <w:rPr>
          <w:rFonts w:hint="eastAsia" w:ascii="仿宋" w:hAnsi="等线" w:eastAsia="仿宋" w:cs="仿宋"/>
          <w:b/>
          <w:lang w:bidi="ar"/>
        </w:rPr>
        <w:t xml:space="preserve">第二十五条  </w:t>
      </w:r>
      <w:r>
        <w:rPr>
          <w:rFonts w:hint="eastAsia" w:ascii="仿宋" w:hAnsi="等线" w:eastAsia="仿宋" w:cs="仿宋"/>
          <w:lang w:bidi="ar"/>
        </w:rPr>
        <w:t>金融监管总局派出机构应在向金融监管总局报送监管评级初评结果的同时，报送辖内信托公司系统性影响各评估要素数值。</w:t>
      </w:r>
    </w:p>
    <w:p>
      <w:pPr>
        <w:adjustRightInd w:val="0"/>
        <w:snapToGrid w:val="0"/>
        <w:spacing w:line="312" w:lineRule="auto"/>
        <w:ind w:firstLine="422" w:firstLineChars="200"/>
        <w:rPr>
          <w:rFonts w:hint="eastAsia" w:ascii="仿宋" w:hAnsi="等线" w:eastAsia="仿宋" w:cs="仿宋"/>
        </w:rPr>
      </w:pPr>
      <w:r>
        <w:rPr>
          <w:rFonts w:hint="eastAsia" w:ascii="仿宋" w:hAnsi="等线" w:eastAsia="仿宋" w:cs="仿宋"/>
          <w:b/>
          <w:lang w:bidi="ar"/>
        </w:rPr>
        <w:t xml:space="preserve">第二十六条  </w:t>
      </w:r>
      <w:r>
        <w:rPr>
          <w:rFonts w:hint="eastAsia" w:ascii="仿宋" w:hAnsi="等线" w:eastAsia="仿宋" w:cs="仿宋"/>
          <w:lang w:bidi="ar"/>
        </w:rPr>
        <w:t>金融监管总局应及时将信托公司系统性影响评估结果反馈相关派出机构。</w:t>
      </w:r>
    </w:p>
    <w:p>
      <w:pPr>
        <w:adjustRightInd w:val="0"/>
        <w:snapToGrid w:val="0"/>
        <w:spacing w:line="312" w:lineRule="auto"/>
        <w:ind w:firstLine="422" w:firstLineChars="200"/>
        <w:jc w:val="center"/>
        <w:rPr>
          <w:rFonts w:hint="eastAsia" w:ascii="仿宋" w:hAnsi="等线" w:eastAsia="仿宋" w:cs="仿宋"/>
          <w:b/>
        </w:rPr>
      </w:pPr>
      <w:r>
        <w:rPr>
          <w:rFonts w:hint="eastAsia" w:ascii="仿宋" w:hAnsi="等线" w:eastAsia="仿宋" w:cs="仿宋"/>
          <w:b/>
          <w:lang w:bidi="ar"/>
        </w:rPr>
        <w:t>第五章  分类监管</w:t>
      </w:r>
    </w:p>
    <w:p>
      <w:pPr>
        <w:adjustRightInd w:val="0"/>
        <w:snapToGrid w:val="0"/>
        <w:spacing w:line="312" w:lineRule="auto"/>
        <w:ind w:firstLine="422" w:firstLineChars="200"/>
        <w:rPr>
          <w:rFonts w:hint="eastAsia" w:ascii="仿宋" w:hAnsi="等线" w:eastAsia="仿宋" w:cs="仿宋"/>
        </w:rPr>
      </w:pPr>
      <w:r>
        <w:rPr>
          <w:rFonts w:hint="eastAsia" w:ascii="仿宋" w:hAnsi="等线" w:eastAsia="仿宋" w:cs="仿宋"/>
          <w:b/>
          <w:lang w:bidi="ar"/>
        </w:rPr>
        <w:t xml:space="preserve">第二十七条  </w:t>
      </w:r>
      <w:r>
        <w:rPr>
          <w:rFonts w:hint="eastAsia" w:ascii="仿宋" w:hAnsi="等线" w:eastAsia="仿宋" w:cs="仿宋"/>
          <w:lang w:bidi="ar"/>
        </w:rPr>
        <w:t>监管评级结果和系统性影响评估结果是监管机构确定监管标准和监管强度、配置监管资源、开展市场准入、采取差异化监管措施的重要依据。</w:t>
      </w:r>
    </w:p>
    <w:p>
      <w:pPr>
        <w:adjustRightInd w:val="0"/>
        <w:snapToGrid w:val="0"/>
        <w:spacing w:line="312" w:lineRule="auto"/>
        <w:ind w:firstLine="420" w:firstLineChars="200"/>
        <w:rPr>
          <w:rFonts w:hint="eastAsia" w:ascii="仿宋" w:hAnsi="等线" w:eastAsia="仿宋" w:cs="仿宋"/>
        </w:rPr>
      </w:pPr>
      <w:r>
        <w:rPr>
          <w:rFonts w:hint="eastAsia" w:ascii="仿宋" w:hAnsi="等线" w:eastAsia="仿宋" w:cs="仿宋"/>
          <w:lang w:bidi="ar"/>
        </w:rPr>
        <w:t>金融监管总局派出机构应根据信托公司的监管评级结果，深入分析公司风险状况及其成因，并结合单个模块评估结果和系统性影响评估结果，调整每家信托公司的监管计划，确定非现场监管重点以及现场检查的频率、内容和范围，相应调整监管标准和准入要求，并督促信托公司对发现问题及时整改。</w:t>
      </w:r>
    </w:p>
    <w:p>
      <w:pPr>
        <w:adjustRightInd w:val="0"/>
        <w:snapToGrid w:val="0"/>
        <w:spacing w:line="312" w:lineRule="auto"/>
        <w:ind w:firstLine="422" w:firstLineChars="200"/>
        <w:rPr>
          <w:rFonts w:hint="eastAsia" w:ascii="仿宋" w:hAnsi="等线" w:eastAsia="仿宋" w:cs="仿宋"/>
        </w:rPr>
      </w:pPr>
      <w:r>
        <w:rPr>
          <w:rFonts w:hint="eastAsia" w:ascii="仿宋" w:hAnsi="等线" w:eastAsia="仿宋" w:cs="仿宋"/>
          <w:b/>
          <w:lang w:bidi="ar"/>
        </w:rPr>
        <w:t xml:space="preserve">第二十八条  </w:t>
      </w:r>
      <w:r>
        <w:rPr>
          <w:rFonts w:hint="eastAsia" w:ascii="仿宋" w:hAnsi="等线" w:eastAsia="仿宋" w:cs="仿宋"/>
          <w:lang w:bidi="ar"/>
        </w:rPr>
        <w:t>监管机构应依据信托公司的监管评级结果，从1</w:t>
      </w:r>
      <w:r>
        <w:rPr>
          <w:rFonts w:hint="eastAsia" w:ascii="仿宋" w:hAnsi="等线" w:eastAsia="仿宋" w:cs="Times New Roman"/>
          <w:lang w:bidi="ar"/>
        </w:rPr>
        <w:t>—</w:t>
      </w:r>
      <w:r>
        <w:rPr>
          <w:rFonts w:hint="eastAsia" w:ascii="仿宋" w:hAnsi="等线" w:eastAsia="仿宋" w:cs="仿宋"/>
          <w:lang w:bidi="ar"/>
        </w:rPr>
        <w:t>6级，逐步加强非现场监管强度，相应扩大现场检查的频率和范围。对具有系统性影响的信托公司，应进一步强化监管，提高审慎监管标准，加大行为监管力度。</w:t>
      </w:r>
    </w:p>
    <w:p>
      <w:pPr>
        <w:adjustRightInd w:val="0"/>
        <w:snapToGrid w:val="0"/>
        <w:spacing w:line="312" w:lineRule="auto"/>
        <w:ind w:firstLine="422" w:firstLineChars="200"/>
        <w:rPr>
          <w:rFonts w:hint="eastAsia" w:ascii="仿宋" w:hAnsi="等线" w:eastAsia="仿宋" w:cs="仿宋"/>
        </w:rPr>
      </w:pPr>
      <w:r>
        <w:rPr>
          <w:rFonts w:hint="eastAsia" w:ascii="仿宋" w:hAnsi="等线" w:eastAsia="仿宋" w:cs="仿宋"/>
          <w:b/>
          <w:lang w:bidi="ar"/>
        </w:rPr>
        <w:t xml:space="preserve">第二十九条  </w:t>
      </w:r>
      <w:r>
        <w:rPr>
          <w:rFonts w:hint="eastAsia" w:ascii="仿宋" w:hAnsi="等线" w:eastAsia="仿宋" w:cs="仿宋"/>
          <w:lang w:bidi="ar"/>
        </w:rPr>
        <w:t>监管机构可根据监管评级结果反映出的信托公司经营情况和风险状况，依法对其业务范围和展业地等增加限制性条件。对于监管评级良好，且具有系统性影响的信托公司，可优先试点创新类业务。</w:t>
      </w:r>
    </w:p>
    <w:p>
      <w:pPr>
        <w:adjustRightInd w:val="0"/>
        <w:snapToGrid w:val="0"/>
        <w:spacing w:line="312" w:lineRule="auto"/>
        <w:ind w:firstLine="420" w:firstLineChars="200"/>
        <w:rPr>
          <w:rFonts w:hint="eastAsia" w:ascii="仿宋" w:hAnsi="等线" w:eastAsia="仿宋" w:cs="仿宋"/>
        </w:rPr>
      </w:pPr>
      <w:r>
        <w:rPr>
          <w:rFonts w:hint="eastAsia" w:ascii="仿宋" w:hAnsi="等线" w:eastAsia="仿宋" w:cs="仿宋"/>
          <w:lang w:bidi="ar"/>
        </w:rPr>
        <w:t>金融监管总局可以根据行业发展情况和风险监管要求对分级分类监管条件进行适当调整。</w:t>
      </w:r>
    </w:p>
    <w:p>
      <w:pPr>
        <w:adjustRightInd w:val="0"/>
        <w:snapToGrid w:val="0"/>
        <w:spacing w:line="312" w:lineRule="auto"/>
        <w:ind w:firstLine="422" w:firstLineChars="200"/>
        <w:rPr>
          <w:rFonts w:hint="eastAsia" w:ascii="仿宋" w:hAnsi="等线" w:eastAsia="仿宋" w:cs="仿宋"/>
        </w:rPr>
      </w:pPr>
      <w:r>
        <w:rPr>
          <w:rFonts w:hint="eastAsia" w:ascii="仿宋" w:hAnsi="等线" w:eastAsia="仿宋" w:cs="仿宋"/>
          <w:b/>
          <w:lang w:bidi="ar"/>
        </w:rPr>
        <w:t xml:space="preserve">第三十条  </w:t>
      </w:r>
      <w:r>
        <w:rPr>
          <w:rFonts w:hint="eastAsia" w:ascii="仿宋" w:hAnsi="等线" w:eastAsia="仿宋" w:cs="仿宋"/>
          <w:lang w:bidi="ar"/>
        </w:rPr>
        <w:t>信托公司因监管评级结果下降不再满足本办法</w:t>
      </w:r>
      <w:r>
        <w:rPr>
          <w:rFonts w:hint="eastAsia" w:ascii="仿宋" w:hAnsi="等线" w:eastAsia="仿宋" w:cs="仿宋"/>
          <w:b/>
          <w:lang w:bidi="ar"/>
        </w:rPr>
        <w:t xml:space="preserve">第二十九条  </w:t>
      </w:r>
      <w:r>
        <w:rPr>
          <w:rFonts w:hint="eastAsia" w:ascii="仿宋" w:hAnsi="等线" w:eastAsia="仿宋" w:cs="仿宋"/>
          <w:lang w:bidi="ar"/>
        </w:rPr>
        <w:t>规定开展相应业务的条件时，可设置一年考察期，下一年度监管评级结果仍不能恢复的，信托公司原则上应按照</w:t>
      </w:r>
      <w:r>
        <w:rPr>
          <w:rFonts w:hint="eastAsia" w:ascii="仿宋" w:hAnsi="等线" w:eastAsia="仿宋" w:cs="仿宋"/>
          <w:b/>
          <w:lang w:bidi="ar"/>
        </w:rPr>
        <w:t xml:space="preserve">第二十九条  </w:t>
      </w:r>
      <w:r>
        <w:rPr>
          <w:rFonts w:hint="eastAsia" w:ascii="仿宋" w:hAnsi="等线" w:eastAsia="仿宋" w:cs="仿宋"/>
          <w:lang w:bidi="ar"/>
        </w:rPr>
        <w:t>规定落实相关要求，确需个案处理的，信托公司应报属地监管机构同意。</w:t>
      </w:r>
    </w:p>
    <w:p>
      <w:pPr>
        <w:adjustRightInd w:val="0"/>
        <w:snapToGrid w:val="0"/>
        <w:spacing w:line="312" w:lineRule="auto"/>
        <w:ind w:firstLine="422" w:firstLineChars="200"/>
        <w:rPr>
          <w:rFonts w:hint="eastAsia" w:ascii="仿宋" w:hAnsi="等线" w:eastAsia="仿宋" w:cs="仿宋"/>
        </w:rPr>
      </w:pPr>
      <w:r>
        <w:rPr>
          <w:rFonts w:hint="eastAsia" w:ascii="仿宋" w:hAnsi="等线" w:eastAsia="仿宋" w:cs="仿宋"/>
          <w:b/>
          <w:lang w:bidi="ar"/>
        </w:rPr>
        <w:t xml:space="preserve">第三十一条  </w:t>
      </w:r>
      <w:r>
        <w:rPr>
          <w:rFonts w:hint="eastAsia" w:ascii="仿宋" w:hAnsi="等线" w:eastAsia="仿宋" w:cs="仿宋"/>
          <w:lang w:bidi="ar"/>
        </w:rPr>
        <w:t>监管评级良好的信托公司应积极承担引领行业转型发展和帮助行业化解风险的社会责任，监管机构在对已出现风险的信托公司进行处置时，可指定监管评级良好的信托公司担任托管机构或承担相应职责。</w:t>
      </w:r>
    </w:p>
    <w:p>
      <w:pPr>
        <w:adjustRightInd w:val="0"/>
        <w:snapToGrid w:val="0"/>
        <w:spacing w:line="312" w:lineRule="auto"/>
        <w:ind w:firstLine="422" w:firstLineChars="200"/>
        <w:rPr>
          <w:rFonts w:hint="eastAsia" w:ascii="仿宋" w:hAnsi="等线" w:eastAsia="仿宋" w:cs="仿宋"/>
        </w:rPr>
      </w:pPr>
      <w:r>
        <w:rPr>
          <w:rFonts w:hint="eastAsia" w:ascii="仿宋" w:hAnsi="等线" w:eastAsia="仿宋" w:cs="仿宋"/>
          <w:b/>
          <w:lang w:bidi="ar"/>
        </w:rPr>
        <w:t xml:space="preserve">第三十二条  </w:t>
      </w:r>
      <w:r>
        <w:rPr>
          <w:rFonts w:hint="eastAsia" w:ascii="仿宋" w:hAnsi="等线" w:eastAsia="仿宋" w:cs="仿宋"/>
          <w:lang w:bidi="ar"/>
        </w:rPr>
        <w:t>信托公司缴纳机构监管费和业务监管费时，监管评级结果1</w:t>
      </w:r>
      <w:r>
        <w:rPr>
          <w:rFonts w:hint="eastAsia" w:ascii="仿宋" w:hAnsi="等线" w:eastAsia="仿宋" w:cs="Times New Roman"/>
          <w:lang w:bidi="ar"/>
        </w:rPr>
        <w:t>—</w:t>
      </w:r>
      <w:r>
        <w:rPr>
          <w:rFonts w:hint="eastAsia" w:ascii="仿宋" w:hAnsi="等线" w:eastAsia="仿宋" w:cs="仿宋"/>
          <w:lang w:bidi="ar"/>
        </w:rPr>
        <w:t>4级分别对应监管费计算中风险调整系数的一至四级，监管评级结果5级与6级对应监管费计算中风险调整系数的五级。信托业保障基金筹集时，不同监管评级结果的信托公司执行差异化标准。</w:t>
      </w:r>
    </w:p>
    <w:p>
      <w:pPr>
        <w:adjustRightInd w:val="0"/>
        <w:snapToGrid w:val="0"/>
        <w:spacing w:line="312" w:lineRule="auto"/>
        <w:ind w:firstLine="422" w:firstLineChars="200"/>
        <w:rPr>
          <w:rFonts w:hint="eastAsia" w:ascii="仿宋" w:hAnsi="等线" w:eastAsia="仿宋" w:cs="仿宋"/>
        </w:rPr>
      </w:pPr>
      <w:r>
        <w:rPr>
          <w:rFonts w:hint="eastAsia" w:ascii="仿宋" w:hAnsi="等线" w:eastAsia="仿宋" w:cs="仿宋"/>
          <w:b/>
          <w:lang w:bidi="ar"/>
        </w:rPr>
        <w:t xml:space="preserve">第三十三条  </w:t>
      </w:r>
      <w:r>
        <w:rPr>
          <w:rFonts w:hint="eastAsia" w:ascii="仿宋" w:hAnsi="等线" w:eastAsia="仿宋" w:cs="仿宋"/>
          <w:lang w:bidi="ar"/>
        </w:rPr>
        <w:t>信托公司监管评级和系统性影响评估结果原则上仅供监管机构内部使用，不得对外公布。必要时，监管机构可以采取适当方式向有关政府或金融管理部门通报，但应要求其不得向第三方披露。信托公司应对监管评级结果和系统性影响评估结果严格保密，不得用于广告、宣传、营销等商业目的。</w:t>
      </w:r>
    </w:p>
    <w:p>
      <w:pPr>
        <w:adjustRightInd w:val="0"/>
        <w:snapToGrid w:val="0"/>
        <w:spacing w:line="312" w:lineRule="auto"/>
        <w:ind w:firstLine="422" w:firstLineChars="200"/>
        <w:jc w:val="center"/>
        <w:rPr>
          <w:rFonts w:hint="eastAsia" w:ascii="仿宋" w:hAnsi="等线" w:eastAsia="仿宋" w:cs="仿宋"/>
          <w:b/>
        </w:rPr>
      </w:pPr>
      <w:r>
        <w:rPr>
          <w:rFonts w:hint="eastAsia" w:ascii="仿宋" w:hAnsi="等线" w:eastAsia="仿宋" w:cs="仿宋"/>
          <w:b/>
          <w:lang w:bidi="ar"/>
        </w:rPr>
        <w:t>第六章  附则</w:t>
      </w:r>
    </w:p>
    <w:p>
      <w:pPr>
        <w:adjustRightInd w:val="0"/>
        <w:snapToGrid w:val="0"/>
        <w:spacing w:line="312" w:lineRule="auto"/>
        <w:ind w:firstLine="422" w:firstLineChars="200"/>
        <w:rPr>
          <w:rFonts w:hint="eastAsia" w:ascii="仿宋" w:hAnsi="等线" w:eastAsia="仿宋" w:cs="仿宋"/>
        </w:rPr>
      </w:pPr>
      <w:r>
        <w:rPr>
          <w:rFonts w:hint="eastAsia" w:ascii="仿宋" w:hAnsi="等线" w:eastAsia="仿宋" w:cs="仿宋"/>
          <w:b/>
          <w:lang w:bidi="ar"/>
        </w:rPr>
        <w:t xml:space="preserve">第三十四条  </w:t>
      </w:r>
      <w:r>
        <w:rPr>
          <w:rFonts w:hint="eastAsia" w:ascii="仿宋" w:hAnsi="等线" w:eastAsia="仿宋" w:cs="仿宋"/>
          <w:lang w:bidi="ar"/>
        </w:rPr>
        <w:t>本办法由金融监管总局负责解释。</w:t>
      </w:r>
    </w:p>
    <w:p>
      <w:pPr>
        <w:adjustRightInd w:val="0"/>
        <w:snapToGrid w:val="0"/>
        <w:spacing w:line="312" w:lineRule="auto"/>
        <w:ind w:firstLine="422" w:firstLineChars="200"/>
        <w:rPr>
          <w:rFonts w:hint="eastAsia" w:ascii="仿宋" w:hAnsi="等线" w:eastAsia="仿宋" w:cs="仿宋"/>
        </w:rPr>
      </w:pPr>
      <w:r>
        <w:rPr>
          <w:rFonts w:hint="eastAsia" w:ascii="仿宋" w:hAnsi="等线" w:eastAsia="仿宋" w:cs="仿宋"/>
          <w:b/>
          <w:lang w:bidi="ar"/>
        </w:rPr>
        <w:t xml:space="preserve">第三十五条  </w:t>
      </w:r>
      <w:r>
        <w:rPr>
          <w:rFonts w:hint="eastAsia" w:ascii="仿宋" w:hAnsi="等线" w:eastAsia="仿宋" w:cs="仿宋"/>
          <w:lang w:bidi="ar"/>
        </w:rPr>
        <w:t>本办法自印发之日起施行。《信托公司监管评级办法》（银监办发〔2016〕187号）同时废止</w:t>
      </w:r>
    </w:p>
    <w:p>
      <w:pPr>
        <w:adjustRightInd w:val="0"/>
        <w:snapToGrid w:val="0"/>
        <w:spacing w:line="312" w:lineRule="auto"/>
        <w:ind w:firstLine="420" w:firstLineChars="200"/>
        <w:rPr>
          <w:rFonts w:hint="eastAsia" w:ascii="仿宋" w:hAnsi="等线" w:eastAsia="仿宋" w:cs="仿宋"/>
        </w:rPr>
      </w:pPr>
    </w:p>
    <w:p>
      <w:pPr>
        <w:adjustRightInd w:val="0"/>
        <w:snapToGrid w:val="0"/>
        <w:spacing w:line="312" w:lineRule="auto"/>
        <w:ind w:firstLine="420" w:firstLineChars="200"/>
        <w:rPr>
          <w:rFonts w:hint="eastAsia" w:ascii="仿宋" w:hAnsi="等线" w:eastAsia="仿宋" w:cs="仿宋"/>
        </w:rPr>
      </w:pPr>
    </w:p>
    <w:p>
      <w:pPr>
        <w:widowControl/>
        <w:jc w:val="left"/>
        <w:rPr>
          <w:rFonts w:hint="eastAsia" w:ascii="仿宋" w:hAnsi="等线" w:eastAsia="仿宋" w:cs="仿宋"/>
        </w:rPr>
      </w:pPr>
      <w:r>
        <w:rPr>
          <w:rFonts w:hint="eastAsia" w:ascii="仿宋" w:hAnsi="等线" w:eastAsia="仿宋" w:cs="Times New Roman"/>
          <w:lang w:bidi="ar"/>
        </w:rPr>
        <w:br w:type="page"/>
      </w:r>
    </w:p>
    <w:p>
      <w:pPr>
        <w:adjustRightInd w:val="0"/>
        <w:snapToGrid w:val="0"/>
        <w:spacing w:line="312" w:lineRule="auto"/>
        <w:jc w:val="center"/>
        <w:rPr>
          <w:rFonts w:hint="eastAsia" w:ascii="仿宋" w:hAnsi="仿宋" w:eastAsia="仿宋" w:cs="仿宋"/>
          <w:b/>
          <w:bCs/>
        </w:rPr>
      </w:pPr>
      <w:r>
        <w:rPr>
          <w:rFonts w:hint="eastAsia" w:ascii="仿宋" w:hAnsi="仿宋" w:eastAsia="仿宋" w:cs="仿宋"/>
          <w:b/>
          <w:bCs/>
          <w:lang w:bidi="ar"/>
        </w:rPr>
        <w:t>国家金融监督管理总局就《信托公司监管评级与分级分类监管暂行办法》答记者问</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lang w:bidi="ar"/>
        </w:rPr>
        <w:t>为优化信托公司监管评级体系，加强信托公司差异化监管，国家金融监督管理总局近日印发《信托公司监管评级与分级分类监管暂行办法》（以下简称《办法》），有关部门负责人就相关问题回答了记者提问。</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一、《办法》制定的背景是什么？</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lang w:bidi="ar"/>
        </w:rPr>
        <w:t>近年来，《关于规范金融机构资产管理业务的指导意见》《信托公司股权管理暂行办法》和《关于规范信托公司信托业务分类的通知》等重要法规文件相继出台，信托行业新的监管标准和导向亟需补充进监管评级标准中。同时，随着信托行业改革转型的深入推进，监管部门持续强化审慎监管和行为监管，监管评级办法也应对此相应进行调整。总体来看，制定更为完备的信托公司监管评级规则，充分反映当前信托公司经营特点、风险特征和监管重点，强化监管评级结果运用，引导信托公司立足受托人定位，进一步加强风险管理和行为管理，是十分必要的。</w:t>
      </w:r>
    </w:p>
    <w:p>
      <w:pPr>
        <w:adjustRightInd w:val="0"/>
        <w:snapToGrid w:val="0"/>
        <w:spacing w:line="312" w:lineRule="auto"/>
        <w:ind w:firstLine="422" w:firstLineChars="200"/>
        <w:rPr>
          <w:rFonts w:hint="eastAsia" w:ascii="仿宋" w:hAnsi="仿宋" w:eastAsia="仿宋" w:cs="仿宋"/>
          <w:b/>
        </w:rPr>
      </w:pP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二、《办法》的主要内容是什么？</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lang w:bidi="ar"/>
        </w:rPr>
        <w:t>《办法》共六章三十五条，包括总则、监管评级要素与评级方法、监管评级组织实施、系统性影响评估、分类监管和附则，从总体上对信托公司分级分类监管工作进行规范。一是明确监管评级要素与方法。《办法》设置公司治理、资本要求、风险管理、行为管理和业务转型五大评级模块，分别赋予权重20%、20%、20%、30%和10%，并设定对评级调升和调降的若干调整因素。二是明确评级组织实施流程。信托公司监管评级分为信息报送与收集、初评、复核、结果反馈与分析、动态调整、后评价等环节。评级结果分为6个级别，级别越高表明机构风险越大，越需要监管关注。三是明确系统性影响评估要素与方法。以信托业务规模、信托投资者情况及同业负债余额等指标作为评估要素，赋予不同权重，筛选出系统性影响较高的信托公司。四是明确分类监管原则与措施。从监管评级1级至6级，逐步提高信托公司非现场监管强度和现场检查频率，对具有系统性影响的信托公司，相较于同级别的其他公司进一步提高监管强度。</w:t>
      </w:r>
    </w:p>
    <w:p>
      <w:pPr>
        <w:adjustRightInd w:val="0"/>
        <w:snapToGrid w:val="0"/>
        <w:spacing w:line="312" w:lineRule="auto"/>
        <w:ind w:firstLine="422" w:firstLineChars="200"/>
        <w:rPr>
          <w:rFonts w:hint="eastAsia" w:ascii="仿宋" w:hAnsi="仿宋" w:eastAsia="仿宋" w:cs="仿宋"/>
          <w:b/>
        </w:rPr>
      </w:pP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三、相较于现行信托公司监管评级规则，《办法》在哪些方面进行了完善？</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lang w:bidi="ar"/>
        </w:rPr>
        <w:t>一是全面调整评级框架和要素设置。将评级框架优化为公司治理、资本要求、风险管理、行为管理和业务转型五个模块，通过不同权重和分值的设置，突出重点模块及重点指标，综合定量指标与定性要素进行评分。二是突出投资者权益保护和行为监管。强调卖者尽责，引导信托公司立足受托人定位，将“受益人合法利益最大化”的经营理念贯穿于公司治理、风险管理、行为管理、业务转型等各个环节。强调失责赔付，要求信托公司综合评估其受托履职行为，针对其失职情况及时足额计提预计负债。三是促进提升服务能力和转型发展。督促引导信托公司服务国家重大发展战略和国民经济薄弱环节，鼓励信托公司大力开展资产服务信托、公益、慈善信托等本源业务，规范发展资产管理类业务，持续压降待整改业务。</w:t>
      </w:r>
    </w:p>
    <w:p>
      <w:pPr>
        <w:adjustRightInd w:val="0"/>
        <w:snapToGrid w:val="0"/>
        <w:spacing w:line="312" w:lineRule="auto"/>
        <w:ind w:firstLine="422" w:firstLineChars="200"/>
        <w:rPr>
          <w:rFonts w:hint="eastAsia" w:ascii="仿宋" w:hAnsi="仿宋" w:eastAsia="仿宋" w:cs="仿宋"/>
          <w:b/>
        </w:rPr>
      </w:pP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四、信托公司系统性影响评估的方法和意义是什么？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在常规按监管评级结果对信托公司进行分类的基础上，借鉴系统重要性金融机构评价方法，结合信托业务风险特征，建立信托公司系统性影响评估机制。选定上一年度末全部信托业务实收信托规模最大的30家信托公司作为参评机构，以三类信托业务规模、资产管理类信托投资者情况及同业负债余额等指标作为评估要素，对30家信托公司进行评估打分，从中选出具有系统性影响的公司，采取差异化分类监管措施，进一步强化监管，促使其稳健经营，有效降低其经营失败可能性和负外部性，积极维护金融稳定。</w:t>
      </w:r>
    </w:p>
    <w:p>
      <w:pPr>
        <w:adjustRightInd w:val="0"/>
        <w:snapToGrid w:val="0"/>
        <w:spacing w:line="312" w:lineRule="auto"/>
        <w:ind w:firstLine="420" w:firstLineChars="200"/>
        <w:rPr>
          <w:rFonts w:hint="eastAsia" w:ascii="仿宋" w:hAnsi="等线" w:eastAsia="仿宋" w:cs="仿宋"/>
        </w:rPr>
      </w:pPr>
    </w:p>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