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26" w:name="_Toc6366"/>
      <w:bookmarkStart w:id="1727" w:name="_Toc518836412"/>
      <w:r>
        <w:rPr>
          <w:rFonts w:hint="eastAsia"/>
        </w:rPr>
        <w:t>486</w:t>
      </w:r>
      <w:r>
        <w:t>--</w:t>
      </w:r>
      <w:r>
        <w:rPr>
          <w:rFonts w:hint="eastAsia"/>
        </w:rPr>
        <w:t>关于进一步加大对科技型中小企业信贷支持的指导意见</w:t>
      </w:r>
      <w:r>
        <w:br w:type="textWrapping"/>
      </w:r>
      <w:r>
        <w:rPr>
          <w:rFonts w:hint="eastAsia"/>
        </w:rPr>
        <w:t>（银监发〔2009〕37号）</w:t>
      </w:r>
      <w:bookmarkEnd w:id="1726"/>
      <w:bookmarkEnd w:id="1727"/>
    </w:p>
    <w:p>
      <w:pPr>
        <w:adjustRightInd w:val="0"/>
        <w:snapToGrid w:val="0"/>
        <w:spacing w:line="312" w:lineRule="auto"/>
        <w:rPr>
          <w:rFonts w:hint="eastAsia" w:ascii="仿宋" w:hAnsi="仿宋" w:eastAsia="仿宋"/>
        </w:rPr>
      </w:pPr>
      <w:r>
        <w:rPr>
          <w:rFonts w:ascii="仿宋" w:hAnsi="仿宋" w:eastAsia="仿宋"/>
        </w:rPr>
        <w:t>各银监局，各省、自治区、直辖市、计划单列市科技厅（委、局），各政策银行、国有商业银行、股份制商业银行、邮政储蓄银行：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贯彻实施《国家中长期科学和技术发展规划纲要（2006-2020年）》及其配套政策，落实《国务院办公厅关于当前金融促进经济发展的若干意见》（国办发[2008]126号），加强科技资源和金融资源的结合，进一步加大对科技型中小企业信贷支持，缓解科技型中小企业融资困难，促进科技产业的全面可持续发展，建设创新型国家，现提出以下指导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鼓励进一步加大对科技型中小企业信贷支持。科技型中小企业是我国技术创新的主要载体和经济增长的重要推动力量，在促进科技成果转化和产业化、以创新带动就业、建设创新型国家中发挥着重要作用。银监会、科技部鼓励各银行进一步加大对科技型中小企业的信贷支持和金融服务力度。</w:t>
      </w:r>
    </w:p>
    <w:p>
      <w:pPr>
        <w:adjustRightInd w:val="0"/>
        <w:snapToGrid w:val="0"/>
        <w:spacing w:line="312" w:lineRule="auto"/>
        <w:ind w:firstLine="420" w:firstLineChars="200"/>
        <w:rPr>
          <w:rFonts w:hint="eastAsia" w:ascii="仿宋" w:hAnsi="仿宋" w:eastAsia="仿宋"/>
        </w:rPr>
      </w:pPr>
      <w:r>
        <w:rPr>
          <w:rFonts w:ascii="仿宋" w:hAnsi="仿宋" w:eastAsia="仿宋"/>
        </w:rPr>
        <w:t>本指导意见中的科技型中小企业是指符合以下条件的企业：</w:t>
      </w:r>
    </w:p>
    <w:p>
      <w:pPr>
        <w:adjustRightInd w:val="0"/>
        <w:snapToGrid w:val="0"/>
        <w:spacing w:line="312" w:lineRule="auto"/>
        <w:ind w:firstLine="420" w:firstLineChars="200"/>
        <w:rPr>
          <w:rFonts w:hint="eastAsia" w:ascii="仿宋" w:hAnsi="仿宋" w:eastAsia="仿宋"/>
        </w:rPr>
      </w:pPr>
      <w:r>
        <w:rPr>
          <w:rFonts w:ascii="仿宋" w:hAnsi="仿宋" w:eastAsia="仿宋"/>
        </w:rPr>
        <w:t>（一）符合中小企业国家标准；</w:t>
      </w:r>
    </w:p>
    <w:p>
      <w:pPr>
        <w:adjustRightInd w:val="0"/>
        <w:snapToGrid w:val="0"/>
        <w:spacing w:line="312" w:lineRule="auto"/>
        <w:ind w:firstLine="420" w:firstLineChars="200"/>
        <w:rPr>
          <w:rFonts w:hint="eastAsia" w:ascii="仿宋" w:hAnsi="仿宋" w:eastAsia="仿宋"/>
        </w:rPr>
      </w:pPr>
      <w:r>
        <w:rPr>
          <w:rFonts w:ascii="仿宋" w:hAnsi="仿宋" w:eastAsia="仿宋"/>
        </w:rPr>
        <w:t>（二）企业产品（服务）属于《国家重点支持的高新技术领域》的范围：电子信息技术、生物与新医药技术、航空航天技术、新材料技术、高技术服务业、新能源及节能技术、资源与环境技术、高新技术改造传统产业；</w:t>
      </w:r>
    </w:p>
    <w:p>
      <w:pPr>
        <w:adjustRightInd w:val="0"/>
        <w:snapToGrid w:val="0"/>
        <w:spacing w:line="312" w:lineRule="auto"/>
        <w:ind w:firstLine="420" w:firstLineChars="200"/>
        <w:rPr>
          <w:rFonts w:hint="eastAsia" w:ascii="仿宋" w:hAnsi="仿宋" w:eastAsia="仿宋"/>
        </w:rPr>
      </w:pPr>
      <w:r>
        <w:rPr>
          <w:rFonts w:ascii="仿宋" w:hAnsi="仿宋" w:eastAsia="仿宋"/>
        </w:rPr>
        <w:t>（三）企业当年研究开发费（技术开发费）占企业总收入的3%以上；</w:t>
      </w:r>
    </w:p>
    <w:p>
      <w:pPr>
        <w:adjustRightInd w:val="0"/>
        <w:snapToGrid w:val="0"/>
        <w:spacing w:line="312" w:lineRule="auto"/>
        <w:ind w:firstLine="420" w:firstLineChars="200"/>
        <w:rPr>
          <w:rFonts w:hint="eastAsia" w:ascii="仿宋" w:hAnsi="仿宋" w:eastAsia="仿宋"/>
        </w:rPr>
      </w:pPr>
      <w:r>
        <w:rPr>
          <w:rFonts w:ascii="仿宋" w:hAnsi="仿宋" w:eastAsia="仿宋"/>
        </w:rPr>
        <w:t>（四）企业有原始性创新、集成创新、引进消化再创新等可持续的技术创新活动，有专门从事研发的部门或机构。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完善科技部门、银行业监管部门合作机制，加强科技资源和金融资源的结合。各级科技部门、银行业监管部门应建立合作机制，整合科技、金融等相关资源，推动建立政府部门、各类投资基金、银行、科技型中小企业、担保公司等多方参与、科学合理的风险分担体系，引导银行进一步加大对科技型中小企业的信贷支持。</w:t>
      </w:r>
    </w:p>
    <w:p>
      <w:pPr>
        <w:adjustRightInd w:val="0"/>
        <w:snapToGrid w:val="0"/>
        <w:spacing w:line="312" w:lineRule="auto"/>
        <w:ind w:firstLine="420" w:firstLineChars="200"/>
        <w:rPr>
          <w:rFonts w:hint="eastAsia" w:ascii="仿宋" w:hAnsi="仿宋" w:eastAsia="仿宋"/>
        </w:rPr>
      </w:pPr>
      <w:r>
        <w:rPr>
          <w:rFonts w:ascii="仿宋" w:hAnsi="仿宋" w:eastAsia="仿宋"/>
        </w:rPr>
        <w:t>三、建立和完善科技型企业融资担保体系。各级科技部门、国家高新区应设立不以盈利为目的、专门的科技担保公司，已设立的地方可通过补充资本金、担保补贴等方式进一步提高担保能力，推动建立科技型中小企业贷款风险多方分担机制。对于专门的科技担保公司，在风险可控的前提下，各银行可以在国家规定的范围内提高其担保放大倍数。研究设立相应的再担保机构，逐步建立和完善科技型企业融资担保体系。</w:t>
      </w:r>
    </w:p>
    <w:p>
      <w:pPr>
        <w:adjustRightInd w:val="0"/>
        <w:snapToGrid w:val="0"/>
        <w:spacing w:line="312" w:lineRule="auto"/>
        <w:ind w:firstLine="420" w:firstLineChars="200"/>
        <w:rPr>
          <w:rFonts w:hint="eastAsia" w:ascii="仿宋" w:hAnsi="仿宋" w:eastAsia="仿宋"/>
        </w:rPr>
      </w:pPr>
      <w:r>
        <w:rPr>
          <w:rFonts w:ascii="仿宋" w:hAnsi="仿宋" w:eastAsia="仿宋"/>
        </w:rPr>
        <w:t>四、整合科技资源，营造加大对科技型中小企业信贷支持的有利环境。各级科技部门、国家高新区应积极整合政策、资金、项目、信息、专家等科技资源，建立科技型中小企业贷款风险补偿基金，制定具体的补贴或风险补偿和奖励政策，支持银行发放科技型中小企业贷款；定期推荐科技贷款项目，对属于科技计划和专项的项目优先推荐，并提出科技专业咨询意见，协助银行加强对科技贷款项目的贷后管理；推动科技型中小企业信用体系建设，建立企业信用档案，按照企业信用等级给予相应补贴；加快公共服务平台建设，建立和完善多种形式为科技型中小企业、银行服务的中介服务机构；对入驻科技企业孵化器的银行给予孵化企业待遇；通过交流、挂职等方式推荐科技副行长，协调开发地方科技资源。鼓励银行加强与科技创业投资机构的合作，通过贷投结合，拓宽科技型中小企业融资渠道。探索创新科技保险产品，分散科技型中小企业贷款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明确和完善银行对科技型中小企业信贷支持的有关政策。鼓励和引导银行在科技型中小企业密集地区、国家高新区的分支机构设立科技专家顾问委员会，发挥国家、地方科技计划专家库的优势，提供科技专业咨询服务；在审贷委员会中吸收有表决权的科技专家，并建立相应的考核约束机制；适当下放贷款审批权限；建立适合科技型中小企业特点的风险评估、授信尽职和奖惩制度；适当提高对科技型中小企业不良贷款的风险容忍度；开发适合科技型中小企业特点的金融服务产品，创新还款方式，提高对科技型中小企业的增值服务；推动完善知识产权转让和登记制度，培育知识产权流转市场，积极开展专利等知识产权质押贷款业务。</w:t>
      </w:r>
    </w:p>
    <w:p>
      <w:pPr>
        <w:adjustRightInd w:val="0"/>
        <w:snapToGrid w:val="0"/>
        <w:spacing w:line="312" w:lineRule="auto"/>
        <w:ind w:firstLine="420" w:firstLineChars="200"/>
        <w:rPr>
          <w:rFonts w:hint="eastAsia" w:ascii="仿宋" w:hAnsi="仿宋" w:eastAsia="仿宋"/>
        </w:rPr>
      </w:pPr>
      <w:r>
        <w:rPr>
          <w:rFonts w:ascii="仿宋" w:hAnsi="仿宋" w:eastAsia="仿宋"/>
        </w:rPr>
        <w:t>六、创新科技金融合作模式，开展科技部门与银行之间的科技金融合作模式创新试点。科技部门和银行选择部分银行分支机构作为科技金融合作模式创新试点单位进行共建，开展科技资源和金融资源结合的具体实践，探索加大对科技型中小企业信贷支持和提高对科技型中小企业金融服务水平的有效途径。同时，分别在东、中、西部的涉农科技型中小企业密集省份，选择部分银行开展支持涉农科技型中小企业试点工作。各试点单位应按照“六项机制”和本指导意见的有关要求，积极加强与科技部门之间的协商与合作，共同制定试点方案，切实落实有关政策，做好科技资源和金融资源结合的有关工作。</w:t>
      </w:r>
    </w:p>
    <w:p>
      <w:pPr>
        <w:adjustRightInd w:val="0"/>
        <w:snapToGrid w:val="0"/>
        <w:spacing w:line="312" w:lineRule="auto"/>
        <w:ind w:firstLine="420" w:firstLineChars="200"/>
        <w:rPr>
          <w:rFonts w:hint="eastAsia" w:ascii="仿宋" w:hAnsi="仿宋" w:eastAsia="仿宋"/>
        </w:rPr>
      </w:pPr>
      <w:r>
        <w:rPr>
          <w:rFonts w:ascii="仿宋" w:hAnsi="仿宋" w:eastAsia="仿宋"/>
        </w:rPr>
        <w:t>七、建立银行业支持科技型中小企业的长效机制。各地银行业监管部门、科技部门和各银行要深入贯彻落实科学发展观，结合本指导意见，积极加强部门合作和政策协调，加大相互开展科技与金融知识培训力度，认真做好有关试点工作，及时总结经验教训，不断创新和完善部门合作、资源结合、风险分担、信息共享等多方面的科技金融合作模式。银监会、科技部将选择部分科技金融合作模式创新试点单位作为观察联系点，对有效加大对科技型中小企业信贷支持情况进行长期跟踪和调研，确保银行业支持科技型中小企业的长效机制建立并有效运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中华人民共和国科学技术部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二OO九年五月五日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