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736" w:name="_Toc23145"/>
      <w:bookmarkStart w:id="1737" w:name="_Toc518836417"/>
      <w:r>
        <w:rPr>
          <w:rFonts w:hint="eastAsia"/>
        </w:rPr>
        <w:t>491</w:t>
      </w:r>
      <w:r>
        <w:t>--</w:t>
      </w:r>
      <w:r>
        <w:rPr>
          <w:rFonts w:hint="eastAsia"/>
        </w:rPr>
        <w:t>关于银行业金融机构免除部分服务收费的通知</w:t>
      </w:r>
      <w:r>
        <w:rPr>
          <w:rFonts w:hint="eastAsia"/>
        </w:rPr>
        <w:br w:type="textWrapping"/>
      </w:r>
      <w:r>
        <w:rPr>
          <w:rFonts w:hint="eastAsia"/>
        </w:rPr>
        <w:t>（银监发〔2011〕22号）</w:t>
      </w:r>
      <w:bookmarkEnd w:id="1736"/>
      <w:bookmarkEnd w:id="1737"/>
    </w:p>
    <w:p>
      <w:pPr>
        <w:adjustRightInd w:val="0"/>
        <w:snapToGrid w:val="0"/>
        <w:spacing w:line="300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各银监局，中国人民银行上海总部，各分行、营业管理部，省会（首府）城市中心支行，各省、自治区、直辖市、计划单列市发展改革委、物价局，各国有商业银行、股份制商业银行，邮政储蓄银行：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为提高银行业金融机构服务效率，提升服务水平，在坚持市场化原则的同时，进一步履行社会责任，决定免除部分服务收费。现就有关事项通知如下：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一、从2011年7月1日起，银行业金融机构免除人民币个人账户的以下服务收费：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（一）本行个人储蓄账户的开户手续费和销户手续费；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（二）本行个人银行结算账户的开户手续费和销户手续费；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（三）同城本行存款、取款和转账手续费（贷记卡账户除外）；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“同城”范围不应小于地级市行政区划，同一直辖市、省会城市、计划单列市列入同城范畴。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（四）密码修改手续费和密码重置手续费；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（五）通过本行柜台、ATM机具、电子银行等提供的境内本行查询服务收费；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（六）存折开户工本费、存折销户工本费、存折更换工本费；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（七）已签约开立的代发工资账户、退休金账户、低保账户、医保账户、失业保险账户、住房公积金账户的年费和账户管理费（含小额账户管理费）；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（八）向救灾专用账户捐款的跨行转账手续费、电子汇划费、邮费和电报费；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（九）以电子方式提供12个月内（含）本行对账单的收费；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（十）以纸质方式提供本行当月对账单的收费（至少每月一次），部分金融消费者单独定制的特定对账单除外；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（十一）以纸质方式提供12个月内（含）本行对账单的收费（至少每年一次），部分金融消费者单独定制的特定对账单除外。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二、银行业金融机构未经客户以书面、客户服务中心电话录音或电子签名方式单独授权，不得对客户强制收取短信服务费。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三、银行业金融机构代理国家有关部门或者其他机构的收费，应在办理业务前，明确告知客户，尊重客户对相关服务的自主选择权。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四、各银行业金融机构应根据自身业务发展实际情况，主动承担社会责任，不断加强内部管理，提高服务质量和水平。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五、各银行业金融机构要做出统一部署，抓紧开展相关制度、流程、业务系统、账务系统和账户标记的调整和调试工作，做好应急预案和柜台人员解释口径的准备工作，保障各项业务安全、稳定和持续运行。</w:t>
      </w:r>
    </w:p>
    <w:p>
      <w:pPr>
        <w:adjustRightInd w:val="0"/>
        <w:snapToGrid w:val="0"/>
        <w:spacing w:line="300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请各银监局将本通知转发至辖内银监分局和银行业金融机构，督促辖内银行业金融机构执行各项规定。各地银监局、人民银行分支机构、政府价格主管部门应加强信息共享，遇特殊情况及时向银监会、人民银行和发展改革委报告。</w:t>
      </w:r>
    </w:p>
    <w:p>
      <w:pPr>
        <w:adjustRightInd w:val="0"/>
        <w:snapToGrid w:val="0"/>
        <w:spacing w:line="300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中国银行业监督管理委员会</w:t>
      </w:r>
    </w:p>
    <w:p>
      <w:pPr>
        <w:adjustRightInd w:val="0"/>
        <w:snapToGrid w:val="0"/>
        <w:spacing w:line="300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中国人民银行</w:t>
      </w:r>
    </w:p>
    <w:p>
      <w:pPr>
        <w:adjustRightInd w:val="0"/>
        <w:snapToGrid w:val="0"/>
        <w:spacing w:line="300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国家发展和改革委员会</w:t>
      </w:r>
    </w:p>
    <w:p>
      <w:pPr>
        <w:adjustRightInd w:val="0"/>
        <w:snapToGrid w:val="0"/>
        <w:spacing w:line="300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二〇一一年三月九日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