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90" w:name="_Toc6383"/>
      <w:r>
        <w:rPr>
          <w:rFonts w:hint="eastAsia"/>
        </w:rPr>
        <w:t>536</w:t>
      </w:r>
      <w:r>
        <w:t>--商业银行保理业务管理暂行办法</w:t>
      </w:r>
      <w:r>
        <w:br w:type="textWrapping"/>
      </w:r>
      <w:r>
        <w:rPr>
          <w:rFonts w:hint="eastAsia"/>
        </w:rPr>
        <w:t>（</w:t>
      </w:r>
      <w:r>
        <w:t>中国银行业监督管理委员会令（2014年第5号）</w:t>
      </w:r>
      <w:r>
        <w:rPr>
          <w:rFonts w:hint="eastAsia"/>
        </w:rPr>
        <w:t>）</w:t>
      </w:r>
      <w:bookmarkEnd w:id="1890"/>
    </w:p>
    <w:p>
      <w:pPr>
        <w:adjustRightInd w:val="0"/>
        <w:snapToGrid w:val="0"/>
        <w:spacing w:line="312" w:lineRule="auto"/>
        <w:ind w:firstLine="420" w:firstLineChars="200"/>
        <w:rPr>
          <w:rFonts w:hint="eastAsia" w:ascii="仿宋" w:hAnsi="仿宋" w:eastAsia="仿宋"/>
        </w:rPr>
      </w:pPr>
      <w:r>
        <w:rPr>
          <w:rFonts w:ascii="仿宋" w:hAnsi="仿宋" w:eastAsia="仿宋"/>
        </w:rPr>
        <w:t>《商业银行保理业务管理暂行办法》已经中国银监会2013年第21次主席会议通过。现予公布，自公布之日起施行。</w:t>
      </w:r>
    </w:p>
    <w:p>
      <w:pPr>
        <w:jc w:val="right"/>
        <w:rPr>
          <w:rFonts w:hint="eastAsia" w:ascii="仿宋" w:hAnsi="仿宋" w:eastAsia="仿宋"/>
          <w:bCs/>
          <w:szCs w:val="21"/>
        </w:rPr>
      </w:pPr>
      <w:r>
        <w:rPr>
          <w:rFonts w:ascii="仿宋" w:hAnsi="仿宋" w:eastAsia="仿宋"/>
          <w:bCs/>
          <w:szCs w:val="21"/>
        </w:rPr>
        <w:t>主席：尚福林</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2014年4月3日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商业银行保理业务管理暂行办法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商业银行保理业务经营行为，加强保理业务审慎经营管理，促进保理业务健康发展，根据《中华人民共和国合同法》、《中华人民共和国物权法》、《中华人民共和国银行业监督管理法》、《中华人民共和国商业银行法》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中华人民共和国境内依法设立的商业银行经营保理业务，应当遵守本办法。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商业银行开办保理业务，应当遵循依法合规、审慎经营、平等自愿、公平诚信的原则。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商业银行开办保理业务应当妥善处理业务发展与风险管理的关系。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中国银监会及其派出机构依照本办法及有关法律法规对商业银行保理业务实施监督管理。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定义和分类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本办法所称保理业务是以债权人转让其应收账款为前提，集应收账款催收、管理、坏账担保及融资于一体的综合性金融服务。债权人将其应收账款转让给商业银行，由商业银行向其提供下列服务中至少一项的，即为保理业务：</w:t>
      </w:r>
    </w:p>
    <w:p>
      <w:pPr>
        <w:adjustRightInd w:val="0"/>
        <w:snapToGrid w:val="0"/>
        <w:spacing w:line="312" w:lineRule="auto"/>
        <w:ind w:firstLine="420" w:firstLineChars="200"/>
        <w:rPr>
          <w:rFonts w:hint="eastAsia" w:ascii="仿宋" w:hAnsi="仿宋" w:eastAsia="仿宋"/>
        </w:rPr>
      </w:pPr>
      <w:r>
        <w:rPr>
          <w:rFonts w:ascii="仿宋" w:hAnsi="仿宋" w:eastAsia="仿宋"/>
        </w:rPr>
        <w:t>（一）应收账款催收：商业银行根据应收账款账期，主动或应债权人要求，采取电话、函件、上门等方式或运用法律手段等对债务人进行催收。</w:t>
      </w:r>
    </w:p>
    <w:p>
      <w:pPr>
        <w:adjustRightInd w:val="0"/>
        <w:snapToGrid w:val="0"/>
        <w:spacing w:line="312" w:lineRule="auto"/>
        <w:ind w:firstLine="420" w:firstLineChars="200"/>
        <w:rPr>
          <w:rFonts w:hint="eastAsia" w:ascii="仿宋" w:hAnsi="仿宋" w:eastAsia="仿宋"/>
        </w:rPr>
      </w:pPr>
      <w:r>
        <w:rPr>
          <w:rFonts w:ascii="仿宋" w:hAnsi="仿宋" w:eastAsia="仿宋"/>
        </w:rPr>
        <w:t>（二）应收账款管理：商业银行根据债权人的要求，定期或不定期向其提供关于应收账款的回收情况、逾期账款情况、对账单等财务和统计报表，协助其进行应收账款管理。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（三）坏账担保：商业银行与债权人签订保理协议后，为债务人核定信用额度，并在核准额度内，对债权人无商业纠纷的应收账款，提供约定的付款担保。</w:t>
      </w:r>
    </w:p>
    <w:p>
      <w:pPr>
        <w:adjustRightInd w:val="0"/>
        <w:snapToGrid w:val="0"/>
        <w:spacing w:line="312" w:lineRule="auto"/>
        <w:ind w:firstLine="420" w:firstLineChars="200"/>
        <w:rPr>
          <w:rFonts w:hint="eastAsia" w:ascii="仿宋" w:hAnsi="仿宋" w:eastAsia="仿宋"/>
        </w:rPr>
      </w:pPr>
      <w:r>
        <w:rPr>
          <w:rFonts w:ascii="仿宋" w:hAnsi="仿宋" w:eastAsia="仿宋"/>
        </w:rPr>
        <w:t>（四）保理融资：以应收账款合法、有效转让为前提的银行融资服务。</w:t>
      </w:r>
    </w:p>
    <w:p>
      <w:pPr>
        <w:adjustRightInd w:val="0"/>
        <w:snapToGrid w:val="0"/>
        <w:spacing w:line="312" w:lineRule="auto"/>
        <w:ind w:firstLine="420" w:firstLineChars="200"/>
        <w:rPr>
          <w:rFonts w:hint="eastAsia" w:ascii="仿宋" w:hAnsi="仿宋" w:eastAsia="仿宋"/>
        </w:rPr>
      </w:pPr>
      <w:r>
        <w:rPr>
          <w:rFonts w:ascii="仿宋" w:hAnsi="仿宋" w:eastAsia="仿宋"/>
        </w:rPr>
        <w:t>以应收账款为质押的贷款，不属于保理业务范围。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商业银行应当按照“权属确定，转让明责”的原则，严格审核并确认债权的真实性，确保应收账款初始权属清晰确定、历次转让凭证完整、权责无争议。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本办法所称应收账款，是指企业因提供商品、服务或者出租资产而形成的金钱债权及其产生的收益，但不包括因票据或其他有价证券而产生的付款请求权。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本办法所指应收账款的转让，是指与应收账款相关的全部权利及权益的让渡。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保理业务分类：</w:t>
      </w:r>
    </w:p>
    <w:p>
      <w:pPr>
        <w:adjustRightInd w:val="0"/>
        <w:snapToGrid w:val="0"/>
        <w:spacing w:line="312" w:lineRule="auto"/>
        <w:ind w:firstLine="420" w:firstLineChars="200"/>
        <w:rPr>
          <w:rFonts w:hint="eastAsia" w:ascii="仿宋" w:hAnsi="仿宋" w:eastAsia="仿宋"/>
        </w:rPr>
      </w:pPr>
      <w:r>
        <w:rPr>
          <w:rFonts w:ascii="仿宋" w:hAnsi="仿宋" w:eastAsia="仿宋"/>
        </w:rPr>
        <w:t>（一）国内保理和国际保理</w:t>
      </w:r>
    </w:p>
    <w:p>
      <w:pPr>
        <w:adjustRightInd w:val="0"/>
        <w:snapToGrid w:val="0"/>
        <w:spacing w:line="312" w:lineRule="auto"/>
        <w:ind w:firstLine="420" w:firstLineChars="200"/>
        <w:rPr>
          <w:rFonts w:hint="eastAsia" w:ascii="仿宋" w:hAnsi="仿宋" w:eastAsia="仿宋"/>
        </w:rPr>
      </w:pPr>
      <w:r>
        <w:rPr>
          <w:rFonts w:ascii="仿宋" w:hAnsi="仿宋" w:eastAsia="仿宋"/>
        </w:rPr>
        <w:t>按照基础交易的性质和债权人、债务人所在地，分为国际保理和国内保理。</w:t>
      </w:r>
    </w:p>
    <w:p>
      <w:pPr>
        <w:adjustRightInd w:val="0"/>
        <w:snapToGrid w:val="0"/>
        <w:spacing w:line="312" w:lineRule="auto"/>
        <w:ind w:firstLine="420" w:firstLineChars="200"/>
        <w:rPr>
          <w:rFonts w:hint="eastAsia" w:ascii="仿宋" w:hAnsi="仿宋" w:eastAsia="仿宋"/>
        </w:rPr>
      </w:pPr>
      <w:r>
        <w:rPr>
          <w:rFonts w:ascii="仿宋" w:hAnsi="仿宋" w:eastAsia="仿宋"/>
        </w:rPr>
        <w:t>国内保理是债权人和债务人均在境内的保理业务。</w:t>
      </w:r>
    </w:p>
    <w:p>
      <w:pPr>
        <w:adjustRightInd w:val="0"/>
        <w:snapToGrid w:val="0"/>
        <w:spacing w:line="312" w:lineRule="auto"/>
        <w:ind w:firstLine="420" w:firstLineChars="200"/>
        <w:rPr>
          <w:rFonts w:hint="eastAsia" w:ascii="仿宋" w:hAnsi="仿宋" w:eastAsia="仿宋"/>
        </w:rPr>
      </w:pPr>
      <w:r>
        <w:rPr>
          <w:rFonts w:ascii="仿宋" w:hAnsi="仿宋" w:eastAsia="仿宋"/>
        </w:rPr>
        <w:t>国际保理是债权人和债务人中至少有一方在境外（包括保税区、自贸区、境内关外等）的保理业务。</w:t>
      </w:r>
    </w:p>
    <w:p>
      <w:pPr>
        <w:adjustRightInd w:val="0"/>
        <w:snapToGrid w:val="0"/>
        <w:spacing w:line="312" w:lineRule="auto"/>
        <w:ind w:firstLine="420" w:firstLineChars="200"/>
        <w:rPr>
          <w:rFonts w:hint="eastAsia" w:ascii="仿宋" w:hAnsi="仿宋" w:eastAsia="仿宋"/>
        </w:rPr>
      </w:pPr>
      <w:r>
        <w:rPr>
          <w:rFonts w:ascii="仿宋" w:hAnsi="仿宋" w:eastAsia="仿宋"/>
        </w:rPr>
        <w:t>（二）有追索权保理和无追索权保理</w:t>
      </w:r>
    </w:p>
    <w:p>
      <w:pPr>
        <w:adjustRightInd w:val="0"/>
        <w:snapToGrid w:val="0"/>
        <w:spacing w:line="312" w:lineRule="auto"/>
        <w:ind w:firstLine="420" w:firstLineChars="200"/>
        <w:rPr>
          <w:rFonts w:hint="eastAsia" w:ascii="仿宋" w:hAnsi="仿宋" w:eastAsia="仿宋"/>
        </w:rPr>
      </w:pPr>
      <w:r>
        <w:rPr>
          <w:rFonts w:ascii="仿宋" w:hAnsi="仿宋" w:eastAsia="仿宋"/>
        </w:rPr>
        <w:t>按照商业银行在债务人破产、无理拖欠或无法偿付应收账款时，是否可以向债权人反转让应收账款、要求债权人回购应收账款或归还融资，分为有追索权保理和无追索权保理。</w:t>
      </w:r>
    </w:p>
    <w:p>
      <w:pPr>
        <w:adjustRightInd w:val="0"/>
        <w:snapToGrid w:val="0"/>
        <w:spacing w:line="312" w:lineRule="auto"/>
        <w:ind w:firstLine="420" w:firstLineChars="200"/>
        <w:rPr>
          <w:rFonts w:hint="eastAsia" w:ascii="仿宋" w:hAnsi="仿宋" w:eastAsia="仿宋"/>
        </w:rPr>
      </w:pPr>
      <w:r>
        <w:rPr>
          <w:rFonts w:ascii="仿宋" w:hAnsi="仿宋" w:eastAsia="仿宋"/>
        </w:rPr>
        <w:t>有追索权保理是指在应收账款到期无法从债务人处收回时，商业银行可以向债权人反转让应收账款、要求债权人回购应收账款或归还融资。有追索权保理又称回购型保理。</w:t>
      </w:r>
    </w:p>
    <w:p>
      <w:pPr>
        <w:adjustRightInd w:val="0"/>
        <w:snapToGrid w:val="0"/>
        <w:spacing w:line="312" w:lineRule="auto"/>
        <w:ind w:firstLine="420" w:firstLineChars="200"/>
        <w:rPr>
          <w:rFonts w:hint="eastAsia" w:ascii="仿宋" w:hAnsi="仿宋" w:eastAsia="仿宋"/>
        </w:rPr>
      </w:pPr>
      <w:r>
        <w:rPr>
          <w:rFonts w:ascii="仿宋" w:hAnsi="仿宋" w:eastAsia="仿宋"/>
        </w:rPr>
        <w:t>无追索权保理是指应收账款在无商业纠纷等情况下无法得到清偿的，由商业银行承担应收账款的坏账风险。无追索权保理又称买断型保理。</w:t>
      </w:r>
    </w:p>
    <w:p>
      <w:pPr>
        <w:adjustRightInd w:val="0"/>
        <w:snapToGrid w:val="0"/>
        <w:spacing w:line="312" w:lineRule="auto"/>
        <w:ind w:firstLine="420" w:firstLineChars="200"/>
        <w:rPr>
          <w:rFonts w:hint="eastAsia" w:ascii="仿宋" w:hAnsi="仿宋" w:eastAsia="仿宋"/>
        </w:rPr>
      </w:pPr>
      <w:r>
        <w:rPr>
          <w:rFonts w:ascii="仿宋" w:hAnsi="仿宋" w:eastAsia="仿宋"/>
        </w:rPr>
        <w:t>（三）单保理和双保理</w:t>
      </w:r>
    </w:p>
    <w:p>
      <w:pPr>
        <w:adjustRightInd w:val="0"/>
        <w:snapToGrid w:val="0"/>
        <w:spacing w:line="312" w:lineRule="auto"/>
        <w:ind w:firstLine="420" w:firstLineChars="200"/>
        <w:rPr>
          <w:rFonts w:hint="eastAsia" w:ascii="仿宋" w:hAnsi="仿宋" w:eastAsia="仿宋"/>
        </w:rPr>
      </w:pPr>
      <w:r>
        <w:rPr>
          <w:rFonts w:ascii="仿宋" w:hAnsi="仿宋" w:eastAsia="仿宋"/>
        </w:rPr>
        <w:t>按照参与保理服务的保理机构个数，分为单保理和双保理。</w:t>
      </w:r>
    </w:p>
    <w:p>
      <w:pPr>
        <w:adjustRightInd w:val="0"/>
        <w:snapToGrid w:val="0"/>
        <w:spacing w:line="312" w:lineRule="auto"/>
        <w:ind w:firstLine="420" w:firstLineChars="200"/>
        <w:rPr>
          <w:rFonts w:hint="eastAsia" w:ascii="仿宋" w:hAnsi="仿宋" w:eastAsia="仿宋"/>
        </w:rPr>
      </w:pPr>
      <w:r>
        <w:rPr>
          <w:rFonts w:ascii="仿宋" w:hAnsi="仿宋" w:eastAsia="仿宋"/>
        </w:rPr>
        <w:t>单保理是由一家保理机构单独为买卖双方提供保理服务。</w:t>
      </w:r>
    </w:p>
    <w:p>
      <w:pPr>
        <w:adjustRightInd w:val="0"/>
        <w:snapToGrid w:val="0"/>
        <w:spacing w:line="312" w:lineRule="auto"/>
        <w:ind w:firstLine="420" w:firstLineChars="200"/>
        <w:rPr>
          <w:rFonts w:hint="eastAsia" w:ascii="仿宋" w:hAnsi="仿宋" w:eastAsia="仿宋"/>
        </w:rPr>
      </w:pPr>
      <w:r>
        <w:rPr>
          <w:rFonts w:ascii="仿宋" w:hAnsi="仿宋" w:eastAsia="仿宋"/>
        </w:rPr>
        <w:t>双保理是由两家保理机构分别向买卖双方提供保理服务。</w:t>
      </w:r>
    </w:p>
    <w:p>
      <w:pPr>
        <w:adjustRightInd w:val="0"/>
        <w:snapToGrid w:val="0"/>
        <w:spacing w:line="312" w:lineRule="auto"/>
        <w:ind w:firstLine="420" w:firstLineChars="200"/>
        <w:rPr>
          <w:rFonts w:hint="eastAsia" w:ascii="仿宋" w:hAnsi="仿宋" w:eastAsia="仿宋"/>
        </w:rPr>
      </w:pPr>
      <w:r>
        <w:rPr>
          <w:rFonts w:ascii="仿宋" w:hAnsi="仿宋" w:eastAsia="仿宋"/>
        </w:rPr>
        <w:t>买卖双方保理机构为同一银行不同分支机构的，原则上可视作双保理。商业银行应当在相关业务管理办法中同时明确作为买方保理机构和卖方保理机构的职责。</w:t>
      </w:r>
    </w:p>
    <w:p>
      <w:pPr>
        <w:adjustRightInd w:val="0"/>
        <w:snapToGrid w:val="0"/>
        <w:spacing w:line="312" w:lineRule="auto"/>
        <w:ind w:firstLine="420" w:firstLineChars="200"/>
        <w:rPr>
          <w:rFonts w:hint="eastAsia" w:ascii="仿宋" w:hAnsi="仿宋" w:eastAsia="仿宋"/>
        </w:rPr>
      </w:pPr>
      <w:r>
        <w:rPr>
          <w:rFonts w:ascii="仿宋" w:hAnsi="仿宋" w:eastAsia="仿宋"/>
        </w:rPr>
        <w:t>有保险公司承保买方信用风险的银保合作，视同双保理。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保理融资业务管理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商业银行应当按照本办法对具体保理融资产品进行定义，根据自身情况确定适当的业务范围，制定保理融资客户准入标准。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双保理业务中，商业银行应当对合格买方保理机构制定准入标准，对于买方保理机构为非银行机构的，应当采取名单制管理，并制定严格的准入准出标准与程序。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应当根据自身内部控制水平和风险管理能力，制定适合叙做保理融资业务的应收账款标准，规范应收账款范围。商业银行不得基于不合法基础交易合同、寄售合同、未来应收账款、权属不清的应收账款、因票据或其他有价证券而产生的付款请求权等开展保理融资业务。</w:t>
      </w:r>
    </w:p>
    <w:p>
      <w:pPr>
        <w:adjustRightInd w:val="0"/>
        <w:snapToGrid w:val="0"/>
        <w:spacing w:line="312" w:lineRule="auto"/>
        <w:ind w:firstLine="420" w:firstLineChars="200"/>
        <w:rPr>
          <w:rFonts w:hint="eastAsia" w:ascii="仿宋" w:hAnsi="仿宋" w:eastAsia="仿宋"/>
        </w:rPr>
      </w:pPr>
      <w:r>
        <w:rPr>
          <w:rFonts w:ascii="仿宋" w:hAnsi="仿宋" w:eastAsia="仿宋"/>
        </w:rPr>
        <w:t>未来应收账款是指合同项下卖方义务未履行完毕的预期应收账款。</w:t>
      </w:r>
    </w:p>
    <w:p>
      <w:pPr>
        <w:adjustRightInd w:val="0"/>
        <w:snapToGrid w:val="0"/>
        <w:spacing w:line="312" w:lineRule="auto"/>
        <w:ind w:firstLine="420" w:firstLineChars="200"/>
        <w:rPr>
          <w:rFonts w:hint="eastAsia" w:ascii="仿宋" w:hAnsi="仿宋" w:eastAsia="仿宋"/>
        </w:rPr>
      </w:pPr>
      <w:r>
        <w:rPr>
          <w:rFonts w:ascii="仿宋" w:hAnsi="仿宋" w:eastAsia="仿宋"/>
        </w:rPr>
        <w:t>权属不清的应收账款是指权属具有不确定性的应收账款，包括但不限于已在其他银行或商业保理公司等第三方办理出质或转让的应收账款。获得质权人书面同意解押并放弃抵质押权利和获得受让人书面同意转让应收账款权属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因票据或其他有价证券而产生的付款请求权是指票据或其他有价证券的持票人无需持有票据或有价证券产生的基础交易应收账款单据，仅依据票据或有价证券本身即可向票据或有价证券主债务人请求按票据或有价证券上记载的金额付款的权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受理保理融资业务时，应当严格审核卖方和/或买方的资信、经营及财务状况，分析拟做保理融资的应收账款情况，包括是否出质、转让以及账龄结构等，合理判断买方的付款意愿、付款能力以及卖方的回购能力，审查买卖合同等资料的真实性与合法性。对因提供服务、承接工程或其他非销售商品原因所产生的应收账款，或买卖双方为关联企业的应收账款，应当从严审查交易背景真实性和定价的合理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应当对客户和交易等相关情况进行有效的尽职调查，重点对交易对手、交易商品及贸易习惯等内容进行审核，并通过审核单据原件或银行认可的电子贸易信息等方式，确认相关交易行为真实合理存在，避免客户通过虚开发票或伪造贸易合同、物流、回款等手段恶意骗取融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单保理融资中，商业银行除应当严格审核基础交易的真实性外，还需确定卖方或买方一方比照流动资金贷款进行授信管理，严格实施受理与调查、风险评估与评价、支付和监测等全流程控制。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商业银行办理单保理业务时，应当在保理合同中原则上要求卖方开立用于应收账款回笼的保理专户等相关账户。商业银行应当指定专人对保理专户资金进出情况进行监控，确保资金首先用于归还银行融资。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商业银行应当充分考虑融资利息、保理手续费、现金折扣、历史收款记录、行业特点等应收账款稀释因素，合理确定保理业务融资比例。</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开展保理融资业务，应当根据应收账款的付款期限等因素合理确定融资期限。商业银行可将应收账款到期日与融资到期日间的时间期限设置为宽限期。宽限期应当根据买卖双方历史交易记录、行业惯例等因素合理确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提供保理融资时，有追索权保理按融资金额计入债权人征信信息；无追索权保理不计入债权人及债务人征信信息。商业银行进行担保付款或垫款时，应当按保理业务的风险实质，决定计入债权人或债务人的征信信息。</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保理业务风险管理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商业银行应当科学审慎制定贸易融资业务发展战略，并纳入全行统一战略规划，建立科学有效的贸易融资业务决策程序和激励约束机制，有效防范与控制保理业务风险。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商业银行应当制定详细规范的保理业务管理办法和操作规程，明确业务范围、相关部门职能分工、授信和融资制度、业务操作流程以及风险管控、监测和处置等政策。</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商业银行应当定期评估保理业务政策和程序的有效性，加强内部审计监督，确保业务稳健运行。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保理业务规模较大、复杂度较高的商业银行，必须设立专门的保理业务部门或团队，配备专业的从业人员，负责产品研发、业务操作、日常管理和风险控制等工作。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商业银行应当直接开展保理业务，不得将应收账款的催收、管理等业务外包给第三方机构。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商业银行应当将保理业务纳入统一授信管理，明确各类保理业务涉及的风险类别，对卖方融资风险、买方付款风险、保理机构风险分别进行专项管理。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商业银行应当建立全行统一的保理业务授权管理体系，由总行自上而下实施授权管理，不得办理未经授权或超授权的保理业务。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商业银行应当针对保理业务建立完整的前中后台管理流程，前中后台应当职责明晰并相对独立。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商业银行应当将保理业务的风险管理纳入全面风险管理体系，动态关注卖方或买方经营、管理、财务及资金流向等风险信息，定期与卖方或买方对账，有效管控保理业务风险。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商业银行应当加强保理业务IT系统建设。保理业务规模较大、复杂程度较高的银行应当建立电子化业务操作和管理系统，对授信额度、交易数据和业务流程等方面进行实时监控，并做好数据存储及备份工作。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当发生买方信用风险，保理银行履行垫付款义务后，应当将垫款计入表内，列为不良贷款进行管理。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商业银行应当按照《商业银行资本管理办法（试行）》要求，按保理业务的风险实质，计量风险加权资产，并计提资本。</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商业银行违反本办法规定经营保理业务的，由银监会及其派出机构责令其限期改正。商业银行有下列情形之一的，银监会及其派出机构可采取《中华人民共和国银行业监督管理法》</w:t>
      </w:r>
      <w:r>
        <w:rPr>
          <w:rFonts w:ascii="仿宋" w:hAnsi="仿宋" w:eastAsia="仿宋"/>
          <w:b/>
        </w:rPr>
        <w:t>第三十七条</w:t>
      </w:r>
      <w:r>
        <w:rPr>
          <w:rFonts w:ascii="仿宋" w:hAnsi="仿宋" w:eastAsia="仿宋"/>
        </w:rPr>
        <w:t>规定的监管措施：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（一）未按要求制定保理业务管理办法和操作规程即开展保理业务的；</w:t>
      </w:r>
    </w:p>
    <w:p>
      <w:pPr>
        <w:adjustRightInd w:val="0"/>
        <w:snapToGrid w:val="0"/>
        <w:spacing w:line="312" w:lineRule="auto"/>
        <w:ind w:firstLine="420" w:firstLineChars="200"/>
        <w:rPr>
          <w:rFonts w:hint="eastAsia" w:ascii="仿宋" w:hAnsi="仿宋" w:eastAsia="仿宋"/>
        </w:rPr>
      </w:pPr>
      <w:r>
        <w:rPr>
          <w:rFonts w:ascii="仿宋" w:hAnsi="仿宋" w:eastAsia="仿宋"/>
        </w:rPr>
        <w:t>（二）违反本办法</w:t>
      </w:r>
      <w:r>
        <w:rPr>
          <w:rFonts w:ascii="仿宋" w:hAnsi="仿宋" w:eastAsia="仿宋"/>
          <w:b/>
        </w:rPr>
        <w:t>第十三条、十六条</w:t>
      </w:r>
      <w:r>
        <w:rPr>
          <w:rFonts w:ascii="仿宋" w:hAnsi="仿宋" w:eastAsia="仿宋"/>
        </w:rPr>
        <w:t>规定叙做保理业务的；</w:t>
      </w:r>
    </w:p>
    <w:p>
      <w:pPr>
        <w:adjustRightInd w:val="0"/>
        <w:snapToGrid w:val="0"/>
        <w:spacing w:line="312" w:lineRule="auto"/>
        <w:ind w:firstLine="420" w:firstLineChars="200"/>
        <w:rPr>
          <w:rFonts w:hint="eastAsia" w:ascii="仿宋" w:hAnsi="仿宋" w:eastAsia="仿宋"/>
        </w:rPr>
      </w:pPr>
      <w:r>
        <w:rPr>
          <w:rFonts w:ascii="仿宋" w:hAnsi="仿宋" w:eastAsia="仿宋"/>
        </w:rPr>
        <w:t>（三）业务审查、融资管理、风险处置等流程未尽职的。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商业银行经营保理业务时存在下列情形之一的，银监会及其派出机构除按本办法</w:t>
      </w:r>
      <w:r>
        <w:rPr>
          <w:rFonts w:ascii="仿宋" w:hAnsi="仿宋" w:eastAsia="仿宋"/>
          <w:b/>
        </w:rPr>
        <w:t>第三十三条</w:t>
      </w:r>
      <w:r>
        <w:rPr>
          <w:rFonts w:ascii="仿宋" w:hAnsi="仿宋" w:eastAsia="仿宋"/>
        </w:rPr>
        <w:t>采取监管措施外，还可根据《中华人民共和国银行业监督管理法》第四十六、</w:t>
      </w:r>
      <w:r>
        <w:rPr>
          <w:rFonts w:ascii="仿宋" w:hAnsi="仿宋" w:eastAsia="仿宋"/>
          <w:b/>
        </w:rPr>
        <w:t>第四十八条</w:t>
      </w:r>
      <w:r>
        <w:rPr>
          <w:rFonts w:ascii="仿宋" w:hAnsi="仿宋" w:eastAsia="仿宋"/>
        </w:rPr>
        <w:t>实施处罚：</w:t>
      </w:r>
    </w:p>
    <w:p>
      <w:pPr>
        <w:adjustRightInd w:val="0"/>
        <w:snapToGrid w:val="0"/>
        <w:spacing w:line="312" w:lineRule="auto"/>
        <w:ind w:firstLine="420" w:firstLineChars="200"/>
        <w:rPr>
          <w:rFonts w:hint="eastAsia" w:ascii="仿宋" w:hAnsi="仿宋" w:eastAsia="仿宋"/>
        </w:rPr>
      </w:pPr>
      <w:r>
        <w:rPr>
          <w:rFonts w:ascii="仿宋" w:hAnsi="仿宋" w:eastAsia="仿宋"/>
        </w:rPr>
        <w:t>（一）因保理业务经营管理不当发生信用风险重大损失、出现严重操作风险损失事件的；</w:t>
      </w:r>
    </w:p>
    <w:p>
      <w:pPr>
        <w:adjustRightInd w:val="0"/>
        <w:snapToGrid w:val="0"/>
        <w:spacing w:line="312" w:lineRule="auto"/>
        <w:ind w:firstLine="420" w:firstLineChars="200"/>
        <w:rPr>
          <w:rFonts w:hint="eastAsia" w:ascii="仿宋" w:hAnsi="仿宋" w:eastAsia="仿宋"/>
        </w:rPr>
      </w:pPr>
      <w:r>
        <w:rPr>
          <w:rFonts w:ascii="仿宋" w:hAnsi="仿宋" w:eastAsia="仿宋"/>
        </w:rPr>
        <w:t>（二）通过非公允关联交易或变相降低标准违规办理保理业务的；</w:t>
      </w:r>
    </w:p>
    <w:p>
      <w:pPr>
        <w:adjustRightInd w:val="0"/>
        <w:snapToGrid w:val="0"/>
        <w:spacing w:line="312" w:lineRule="auto"/>
        <w:ind w:firstLine="420" w:firstLineChars="200"/>
        <w:rPr>
          <w:rFonts w:hint="eastAsia" w:ascii="仿宋" w:hAnsi="仿宋" w:eastAsia="仿宋"/>
        </w:rPr>
      </w:pPr>
      <w:r>
        <w:rPr>
          <w:rFonts w:ascii="仿宋" w:hAnsi="仿宋" w:eastAsia="仿宋"/>
        </w:rPr>
        <w:t>（三）未真实准确对垫款等进行会计记录或以虚假会计处理掩盖保理业务风险实质的；</w:t>
      </w:r>
    </w:p>
    <w:p>
      <w:pPr>
        <w:adjustRightInd w:val="0"/>
        <w:snapToGrid w:val="0"/>
        <w:spacing w:line="312" w:lineRule="auto"/>
        <w:ind w:firstLine="420" w:firstLineChars="200"/>
        <w:rPr>
          <w:rFonts w:hint="eastAsia" w:ascii="仿宋" w:hAnsi="仿宋" w:eastAsia="仿宋"/>
        </w:rPr>
      </w:pPr>
      <w:r>
        <w:rPr>
          <w:rFonts w:ascii="仿宋" w:hAnsi="仿宋" w:eastAsia="仿宋"/>
        </w:rPr>
        <w:t>（四）严重违反本办法规定的其他情形。</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政策性银行、外国银行分行、农村合作银行、农村信用社、财务公司等其他银行业金融机构开展保理业务的，参照本办法执行。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中国银行业协会应当充分发挥自律、协调、规范职能，建立并持续完善银行保理业务的行业自律机制。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本办法由中国银监会负责解释。</w:t>
      </w:r>
    </w:p>
    <w:p>
      <w:pPr>
        <w:adjustRightInd w:val="0"/>
        <w:snapToGrid w:val="0"/>
        <w:spacing w:line="312" w:lineRule="auto"/>
        <w:ind w:firstLine="420" w:firstLineChars="200"/>
        <w:rPr>
          <w:rFonts w:hint="eastAsia" w:ascii="仿宋" w:hAnsi="仿宋" w:eastAsia="仿宋"/>
        </w:rPr>
      </w:pPr>
    </w:p>
    <w:p>
      <w:pPr>
        <w:widowControl/>
        <w:adjustRightInd w:val="0"/>
        <w:snapToGrid w:val="0"/>
        <w:spacing w:line="312" w:lineRule="auto"/>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