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91" w:name="_Toc6417"/>
      <w:r>
        <w:rPr>
          <w:rFonts w:hint="eastAsia"/>
        </w:rPr>
        <w:t>537</w:t>
      </w:r>
      <w:r>
        <w:t>--</w:t>
      </w:r>
      <w:r>
        <w:rPr>
          <w:rFonts w:hint="eastAsia"/>
        </w:rPr>
        <w:t>中国银保监会办公厅关于推进农村商业银行坚守定位</w:t>
      </w:r>
      <w:r>
        <w:br w:type="textWrapping"/>
      </w:r>
      <w:r>
        <w:t>强化治理提升金融服务能力的意见</w:t>
      </w:r>
      <w:r>
        <w:br w:type="textWrapping"/>
      </w:r>
      <w:r>
        <w:rPr>
          <w:rFonts w:hint="eastAsia"/>
        </w:rPr>
        <w:t>（银保监办发〔</w:t>
      </w:r>
      <w:r>
        <w:t>2019〕5号</w:t>
      </w:r>
      <w:r>
        <w:rPr>
          <w:rFonts w:hint="eastAsia"/>
        </w:rPr>
        <w:t>）</w:t>
      </w:r>
      <w:bookmarkEnd w:id="1891"/>
    </w:p>
    <w:p>
      <w:pPr>
        <w:adjustRightInd w:val="0"/>
        <w:snapToGrid w:val="0"/>
        <w:spacing w:line="312" w:lineRule="auto"/>
        <w:rPr>
          <w:rFonts w:hint="eastAsia" w:ascii="仿宋" w:hAnsi="仿宋" w:eastAsia="仿宋"/>
        </w:rPr>
      </w:pPr>
      <w:r>
        <w:rPr>
          <w:rFonts w:hint="eastAsia" w:ascii="仿宋" w:hAnsi="仿宋" w:eastAsia="仿宋"/>
        </w:rPr>
        <w:t>各银保监局：</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农村商业银行是县域地区重要的法人银行机构，是银行业支持“三农”和小微企业的主力军。农村商业银行坚持正确的改革发展方向，对于构建多层次、广覆盖、有差异的金融机构体系，更好满足实体经济结构性、多元化金融服务需求，具有十分重要的意义。为贯彻落实党的十九大重要改革举措要求、第五次全国金融工作会议及中央农村工作会议精神，建立完善农村商业银行金融服务监测、考核和评价指标体系，推进坚守定位、强化治理、提升金融服务能力，支持农业农村优先发展，推动解决小微企业融资难融资贵问题，现提出如下意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一、坚持正确改革发展方向，坚守服务“三农”和小微企业市场定位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专注服务本地、服务县域、服务社区。农村商业银行应准确把握自身在银行体系中的差异化定位，确立与所在地域经济总量和产业特点相适应的发展方向、战略定位和经营重点，严格审慎开展综合化和跨区域经营，原则上机构不出县（区）、业务不跨县（区）。应专注服务本地，下沉服务重心，当年新增可贷资金应主要用于当地。</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二）坚守支农支小金融服务主业。农村商业银行应提高金融服务精准匹配能力，重点满足“三农”和小微企业个性化、差异化、定制化需求。将业务重心回归信贷主业，确保信贷资产在总资产中保持适当比例，投向“三农”和小微企业的贷款在贷款总量中占主要份额。严格控制大额贷款投向和投放比例，合理降低贷款集中度和户均贷款余额。</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二、提升治理能力，完善服务“三农”和小微企业的内部机制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优化符合支农支小定位的股权基础。农村商业银行应按照涉农优先、实业为主的原则，积极引进认同战略定位的优质法人入股，探索引进具备实力、治理良好的农村集体经济组织入股。应将股东支农支小服务承诺写入公司章程，并对承诺落实情况进行评估。对股东未落实承诺、甚至导致严重偏离支农支小定位的，应限制其相关股东权利。加强股东行为监测和规范管理，严防股东通过违规关联交易套取银行资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完善金融服务导向的公司治理机制。农村商业银行应建立符合小法人特点和支农支小服务导向的公司治理架构和治理机制，注重将加强党的领导融入公司治理全过程。进一步优化董事会结构，注重选聘具有“三农”和小微企业业务背景的董事。应在公司章程中明确“三会一层”制定落实支农支小发展战略的职责分工，并将支农支小考核目标完成情况作为董事会、监事会和高级管理层履职评价的重要内容。应建立科学合理的支农支小绩效考核指标体系，指标权重应显著高于其他业务指标。对相关部门、分支机构和高管人员的绩效系数应与支农支小业务规模、占比等情况挂钩，鼓励加大对农村和偏远地区网点的绩效倾斜力度。</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五）规范发挥行业指导和管理作用。省联社应注重发挥对农村商业银行支农支小定位的引领和支撑作用，改进履职方式，提升服务能力。应在行业层面健全对农村商业银行金融服务的考核机制，并将考核结果与农村商业银行高管人员履职评价和任用提拔相挂钩。对农村商业银行偏离定位的，应坚决纠正处理，情节特别严重的应对相关高管人员实施问责。辖内农村商业银行支农支小政策落实情况、具体效果以及省联社采取的相应措施，应作为监管部门对省联社履职评价的重要内容，并赋予足够权重。</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三、围绕“三农”和小微企业金融需求特点，提升服务匹配度和有效性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增加“三农”和小微企业金融供给。农村商业银行应科学测算“三农”和小微企业信贷增长年度目标，确保这两类贷款增速和占各项贷款比例稳中有升，辖内农户和小微企业建档评级覆盖面和授信户数有效增加。对有融资需求的“三农”和小微企业客户，应根据其财务、诚信和管理情况综合进行风险判断，科学降低对抵质押担保的依赖。完善差异化信贷政策，客观对待“三农”和小微企业出现的暂时性还款困难，对经营前景较好的不盲目抽贷、断贷。建立健全具有可操作性的尽职免责和容错纠错机制，加强对“三农”和小微企业不良贷款成因的甄别，对已尽职但出现风险的支农支小业务，应合理免除授信部门及其工作人员相应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改进和创新金融服务方式。农村商业银行应顺应县域经济社会发展变化和信息科技发展趋势，与时俱进改进服务理念和方式。切实增强主动上门服务意识，积极设计和推介适宜的产品和服务。加强大数据、云计算和人工智能等现代技术应用，探索开展与金融科技企业合作，合理增加电子机具在农村和社区的布设力度，稳步提升电子交易替代率。鼓励开展授信业务在线申请、在线审批，有条件的可推广自助、可循环贷款业务。合理推动贷款和续贷审批机制改革，有效整合业务受理、身份核实、资料核签等业务环节，提升服务效率。</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八）有效做好融资成本管理。农村商业银行应在商业可持续的前提下，尽可能为“三农”和小微企业减费让利。提升存贷款精细化定价能力，扭转盲目跟随同业、“一浮到顶”的粗放定价策略。灵活运用支农支小再贷款再贴现、专项金融债等工具，增加低成本长期资金来源。合理确定贷款期限和还款方式，对于流动资金贷款到期后仍有融资需求的，应提前准备、缩短资金接续间隔，降低贷款周转成本。规范贷款行为，清理不必要的“通道”和“过桥”环节。</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四、建立监测考核指标体系，确保农村商业银行金融服务可监测可考核可评价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建立完善支农支小监测指标体系。监管部门要从业务发展、服务质量、风险防控等方面，建立科学全面评价农村商业银行支农支小金融服务的监测指标体系，并推动农村商业银行将指标融入自身年度经营规划和绩效考核体系。各省级监管部门可结合本地区实际，研究制定差异化的监测指标体系，指导下级监管部门对辖内农村商业银行逐家制定监测考核目标，定期对达标情况进行统计监测和考核通报，确保达标机构覆盖面持续上升。对于不达标的农村商业银行，要督促制定总体整改目标与分年度达标规划，配套跟进督导和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强化监管激励约束措施。对于支农支小监测指标达标情况良好的农村商业银行，监管部门在监管评级中适当给予加分。对涉农和小微企业不良贷款率在监管容忍度范围内的，在“资产质量”等监管评级要素中不作为扣分因素，并在日常监管和行政处罚中落实好尽职免责要求。优先支持定位清晰、管理良好、支农支小成效突出的农村商业银行参评标杆银行，支持其参与设立投资管理型村镇银行和“多县一行”制村镇银行，鼓励其审慎合规开展信贷资产证券化、发行二级资本债和可转债等业务创新。对经营定位出现偏离的，要及时进行监管约谈和通报提示，督促限期整改；出现重大风险的，要果断采取暂停相关业务、限制市场准入、调整高管人员以及下调监管评级等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各银保监局要认真履行属地监管主体责任，持续跟踪辖内农村商业银行执行落实情况，于每年</w:t>
      </w:r>
      <w:r>
        <w:rPr>
          <w:rFonts w:ascii="仿宋" w:hAnsi="仿宋" w:eastAsia="仿宋"/>
        </w:rPr>
        <w:t>4月底前向银保监会农村银行部报送上一年度执行落实情况及监测指标体系运行考核情况。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本意见适用于县域及城区农村商业银行。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附件：农村商业银行经营定位与金融服务能力考核指标表</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2019年1月4日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（此件发至银监分局）</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sectPr>
          <w:pgSz w:w="11906" w:h="16838"/>
          <w:pgMar w:top="1440" w:right="1800" w:bottom="1440" w:left="1800" w:header="851" w:footer="992" w:gutter="0"/>
          <w:cols w:space="425" w:num="1"/>
          <w:docGrid w:type="lines" w:linePitch="312" w:charSpace="0"/>
        </w:sect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附件：农村商业银行经营定位与金融服务能力考核指标表</w:t>
      </w:r>
    </w:p>
    <w:tbl>
      <w:tblPr>
        <w:tblStyle w:val="42"/>
        <w:tblW w:w="14700" w:type="dxa"/>
        <w:tblInd w:w="-5" w:type="dxa"/>
        <w:tblLayout w:type="fixed"/>
        <w:tblCellMar>
          <w:top w:w="0" w:type="dxa"/>
          <w:left w:w="108" w:type="dxa"/>
          <w:bottom w:w="0" w:type="dxa"/>
          <w:right w:w="108" w:type="dxa"/>
        </w:tblCellMar>
      </w:tblPr>
      <w:tblGrid>
        <w:gridCol w:w="631"/>
        <w:gridCol w:w="909"/>
        <w:gridCol w:w="3100"/>
        <w:gridCol w:w="3800"/>
        <w:gridCol w:w="2200"/>
        <w:gridCol w:w="4060"/>
      </w:tblGrid>
      <w:tr>
        <w:tblPrEx>
          <w:tblCellMar>
            <w:top w:w="0" w:type="dxa"/>
            <w:left w:w="108" w:type="dxa"/>
            <w:bottom w:w="0" w:type="dxa"/>
            <w:right w:w="108" w:type="dxa"/>
          </w:tblCellMar>
        </w:tblPrEx>
        <w:trPr>
          <w:trHeight w:val="612" w:hRule="atLeast"/>
        </w:trPr>
        <w:tc>
          <w:tcPr>
            <w:tcW w:w="631" w:type="dxa"/>
            <w:tcBorders>
              <w:top w:val="single" w:color="auto" w:sz="4" w:space="0"/>
              <w:left w:val="single" w:color="auto" w:sz="4" w:space="0"/>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b/>
                <w:bCs/>
              </w:rPr>
            </w:pPr>
            <w:r>
              <w:rPr>
                <w:rFonts w:hint="eastAsia" w:ascii="仿宋" w:hAnsi="仿宋" w:eastAsia="仿宋"/>
                <w:b/>
                <w:bCs/>
              </w:rPr>
              <w:t>序号</w:t>
            </w:r>
          </w:p>
        </w:tc>
        <w:tc>
          <w:tcPr>
            <w:tcW w:w="909" w:type="dxa"/>
            <w:tcBorders>
              <w:top w:val="single" w:color="auto" w:sz="4" w:space="0"/>
              <w:left w:val="nil"/>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b/>
                <w:bCs/>
              </w:rPr>
            </w:pPr>
            <w:r>
              <w:rPr>
                <w:rFonts w:hint="eastAsia" w:ascii="仿宋" w:hAnsi="仿宋" w:eastAsia="仿宋"/>
                <w:b/>
                <w:bCs/>
              </w:rPr>
              <w:t>分类</w:t>
            </w:r>
          </w:p>
        </w:tc>
        <w:tc>
          <w:tcPr>
            <w:tcW w:w="310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b/>
                <w:bCs/>
              </w:rPr>
            </w:pPr>
            <w:r>
              <w:rPr>
                <w:rFonts w:hint="eastAsia" w:ascii="仿宋" w:hAnsi="仿宋" w:eastAsia="仿宋"/>
                <w:b/>
                <w:bCs/>
              </w:rPr>
              <w:t>指标名称</w:t>
            </w:r>
          </w:p>
        </w:tc>
        <w:tc>
          <w:tcPr>
            <w:tcW w:w="380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b/>
                <w:bCs/>
              </w:rPr>
            </w:pPr>
            <w:r>
              <w:rPr>
                <w:rFonts w:hint="eastAsia" w:ascii="仿宋" w:hAnsi="仿宋" w:eastAsia="仿宋"/>
                <w:b/>
                <w:bCs/>
              </w:rPr>
              <w:t>公式</w:t>
            </w:r>
          </w:p>
        </w:tc>
        <w:tc>
          <w:tcPr>
            <w:tcW w:w="220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b/>
                <w:bCs/>
              </w:rPr>
            </w:pPr>
            <w:r>
              <w:rPr>
                <w:rFonts w:hint="eastAsia" w:ascii="仿宋" w:hAnsi="仿宋" w:eastAsia="仿宋"/>
                <w:b/>
                <w:bCs/>
              </w:rPr>
              <w:t>目标值</w:t>
            </w:r>
          </w:p>
        </w:tc>
        <w:tc>
          <w:tcPr>
            <w:tcW w:w="4060" w:type="dxa"/>
            <w:tcBorders>
              <w:top w:val="single" w:color="auto" w:sz="4" w:space="0"/>
              <w:left w:val="nil"/>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b/>
                <w:bCs/>
              </w:rPr>
            </w:pPr>
            <w:r>
              <w:rPr>
                <w:rFonts w:hint="eastAsia" w:ascii="仿宋" w:hAnsi="仿宋" w:eastAsia="仿宋"/>
                <w:b/>
                <w:bCs/>
              </w:rPr>
              <w:t>备注</w:t>
            </w:r>
          </w:p>
        </w:tc>
      </w:tr>
      <w:tr>
        <w:tblPrEx>
          <w:tblCellMar>
            <w:top w:w="0" w:type="dxa"/>
            <w:left w:w="108" w:type="dxa"/>
            <w:bottom w:w="0" w:type="dxa"/>
            <w:right w:w="108" w:type="dxa"/>
          </w:tblCellMar>
        </w:tblPrEx>
        <w:trPr>
          <w:trHeight w:val="672" w:hRule="atLeast"/>
        </w:trPr>
        <w:tc>
          <w:tcPr>
            <w:tcW w:w="631" w:type="dxa"/>
            <w:tcBorders>
              <w:top w:val="nil"/>
              <w:left w:val="single" w:color="auto" w:sz="4" w:space="0"/>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1</w:t>
            </w:r>
          </w:p>
        </w:tc>
        <w:tc>
          <w:tcPr>
            <w:tcW w:w="909" w:type="dxa"/>
            <w:vMerge w:val="restart"/>
            <w:tcBorders>
              <w:top w:val="nil"/>
              <w:left w:val="single" w:color="auto" w:sz="4" w:space="0"/>
              <w:bottom w:val="single" w:color="000000" w:sz="4" w:space="0"/>
              <w:right w:val="single" w:color="auto" w:sz="4" w:space="0"/>
            </w:tcBorders>
            <w:shd w:val="clear" w:color="auto" w:fill="auto"/>
            <w:vAlign w:val="center"/>
          </w:tcPr>
          <w:p>
            <w:pPr>
              <w:adjustRightInd w:val="0"/>
              <w:snapToGrid w:val="0"/>
              <w:rPr>
                <w:rFonts w:hint="eastAsia" w:ascii="仿宋" w:hAnsi="仿宋" w:eastAsia="仿宋"/>
                <w:b/>
                <w:bCs/>
              </w:rPr>
            </w:pPr>
            <w:r>
              <w:rPr>
                <w:rFonts w:hint="eastAsia" w:ascii="仿宋" w:hAnsi="仿宋" w:eastAsia="仿宋"/>
                <w:b/>
                <w:bCs/>
              </w:rPr>
              <w:t xml:space="preserve"> 经营定位</w:t>
            </w:r>
          </w:p>
        </w:tc>
        <w:tc>
          <w:tcPr>
            <w:tcW w:w="31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各项贷款占比</w:t>
            </w:r>
          </w:p>
        </w:tc>
        <w:tc>
          <w:tcPr>
            <w:tcW w:w="38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各项贷款期末余额/表内总资产期末余额</w:t>
            </w:r>
          </w:p>
        </w:tc>
        <w:tc>
          <w:tcPr>
            <w:tcW w:w="22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≥50%</w:t>
            </w:r>
          </w:p>
        </w:tc>
        <w:tc>
          <w:tcPr>
            <w:tcW w:w="4060" w:type="dxa"/>
            <w:tcBorders>
              <w:top w:val="nil"/>
              <w:left w:val="nil"/>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w:t>
            </w:r>
          </w:p>
        </w:tc>
      </w:tr>
      <w:tr>
        <w:tblPrEx>
          <w:tblCellMar>
            <w:top w:w="0" w:type="dxa"/>
            <w:left w:w="108" w:type="dxa"/>
            <w:bottom w:w="0" w:type="dxa"/>
            <w:right w:w="108" w:type="dxa"/>
          </w:tblCellMar>
        </w:tblPrEx>
        <w:trPr>
          <w:trHeight w:val="1320" w:hRule="atLeast"/>
        </w:trPr>
        <w:tc>
          <w:tcPr>
            <w:tcW w:w="631" w:type="dxa"/>
            <w:tcBorders>
              <w:top w:val="nil"/>
              <w:left w:val="single" w:color="auto" w:sz="4" w:space="0"/>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2</w:t>
            </w:r>
          </w:p>
        </w:tc>
        <w:tc>
          <w:tcPr>
            <w:tcW w:w="909" w:type="dxa"/>
            <w:vMerge w:val="continue"/>
            <w:tcBorders>
              <w:top w:val="nil"/>
              <w:left w:val="single" w:color="auto" w:sz="4" w:space="0"/>
              <w:bottom w:val="single" w:color="000000" w:sz="4" w:space="0"/>
              <w:right w:val="single" w:color="auto" w:sz="4" w:space="0"/>
            </w:tcBorders>
            <w:vAlign w:val="center"/>
          </w:tcPr>
          <w:p>
            <w:pPr>
              <w:adjustRightInd w:val="0"/>
              <w:snapToGrid w:val="0"/>
              <w:rPr>
                <w:rFonts w:hint="eastAsia" w:ascii="仿宋" w:hAnsi="仿宋" w:eastAsia="仿宋"/>
                <w:b/>
                <w:bCs/>
              </w:rPr>
            </w:pPr>
          </w:p>
        </w:tc>
        <w:tc>
          <w:tcPr>
            <w:tcW w:w="31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新增可贷资金用于当地比例</w:t>
            </w:r>
          </w:p>
        </w:tc>
        <w:tc>
          <w:tcPr>
            <w:tcW w:w="38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年度新增当地贷款/年度新增可贷资金</w:t>
            </w:r>
          </w:p>
        </w:tc>
        <w:tc>
          <w:tcPr>
            <w:tcW w:w="22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≥70%</w:t>
            </w:r>
          </w:p>
        </w:tc>
        <w:tc>
          <w:tcPr>
            <w:tcW w:w="406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对县域农商行，“当地”指该行所在的县（市、旗）；对城区农商行，“当地”指该行所在的一个或几个市辖区。若年度可贷资金减少，则贷款余额应保持增加。</w:t>
            </w:r>
          </w:p>
        </w:tc>
      </w:tr>
      <w:tr>
        <w:tblPrEx>
          <w:tblCellMar>
            <w:top w:w="0" w:type="dxa"/>
            <w:left w:w="108" w:type="dxa"/>
            <w:bottom w:w="0" w:type="dxa"/>
            <w:right w:w="108" w:type="dxa"/>
          </w:tblCellMar>
        </w:tblPrEx>
        <w:trPr>
          <w:trHeight w:val="983" w:hRule="atLeast"/>
        </w:trPr>
        <w:tc>
          <w:tcPr>
            <w:tcW w:w="631" w:type="dxa"/>
            <w:tcBorders>
              <w:top w:val="nil"/>
              <w:left w:val="single" w:color="auto" w:sz="4" w:space="0"/>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3</w:t>
            </w:r>
          </w:p>
        </w:tc>
        <w:tc>
          <w:tcPr>
            <w:tcW w:w="909" w:type="dxa"/>
            <w:vMerge w:val="continue"/>
            <w:tcBorders>
              <w:top w:val="nil"/>
              <w:left w:val="single" w:color="auto" w:sz="4" w:space="0"/>
              <w:bottom w:val="single" w:color="000000" w:sz="4" w:space="0"/>
              <w:right w:val="single" w:color="auto" w:sz="4" w:space="0"/>
            </w:tcBorders>
            <w:vAlign w:val="center"/>
          </w:tcPr>
          <w:p>
            <w:pPr>
              <w:adjustRightInd w:val="0"/>
              <w:snapToGrid w:val="0"/>
              <w:rPr>
                <w:rFonts w:hint="eastAsia" w:ascii="仿宋" w:hAnsi="仿宋" w:eastAsia="仿宋"/>
                <w:b/>
                <w:bCs/>
              </w:rPr>
            </w:pPr>
          </w:p>
        </w:tc>
        <w:tc>
          <w:tcPr>
            <w:tcW w:w="31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涉农及小微企业贷款占比</w:t>
            </w:r>
          </w:p>
        </w:tc>
        <w:tc>
          <w:tcPr>
            <w:tcW w:w="38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（涉农贷款期末余额+小微企业贷款期末余额-涉农贷款与小微企业贷款重复部分）/各项贷款期末余额</w:t>
            </w:r>
          </w:p>
        </w:tc>
        <w:tc>
          <w:tcPr>
            <w:tcW w:w="22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逐年上升直至超过80%</w:t>
            </w:r>
          </w:p>
        </w:tc>
        <w:tc>
          <w:tcPr>
            <w:tcW w:w="4060" w:type="dxa"/>
            <w:tcBorders>
              <w:top w:val="nil"/>
              <w:left w:val="nil"/>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w:t>
            </w:r>
          </w:p>
        </w:tc>
      </w:tr>
      <w:tr>
        <w:tblPrEx>
          <w:tblCellMar>
            <w:top w:w="0" w:type="dxa"/>
            <w:left w:w="108" w:type="dxa"/>
            <w:bottom w:w="0" w:type="dxa"/>
            <w:right w:w="108" w:type="dxa"/>
          </w:tblCellMar>
        </w:tblPrEx>
        <w:trPr>
          <w:trHeight w:val="660" w:hRule="atLeast"/>
        </w:trPr>
        <w:tc>
          <w:tcPr>
            <w:tcW w:w="631" w:type="dxa"/>
            <w:tcBorders>
              <w:top w:val="nil"/>
              <w:left w:val="single" w:color="auto" w:sz="4" w:space="0"/>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4</w:t>
            </w:r>
          </w:p>
        </w:tc>
        <w:tc>
          <w:tcPr>
            <w:tcW w:w="909" w:type="dxa"/>
            <w:vMerge w:val="continue"/>
            <w:tcBorders>
              <w:top w:val="nil"/>
              <w:left w:val="single" w:color="auto" w:sz="4" w:space="0"/>
              <w:bottom w:val="single" w:color="000000" w:sz="4" w:space="0"/>
              <w:right w:val="single" w:color="auto" w:sz="4" w:space="0"/>
            </w:tcBorders>
            <w:vAlign w:val="center"/>
          </w:tcPr>
          <w:p>
            <w:pPr>
              <w:adjustRightInd w:val="0"/>
              <w:snapToGrid w:val="0"/>
              <w:rPr>
                <w:rFonts w:hint="eastAsia" w:ascii="仿宋" w:hAnsi="仿宋" w:eastAsia="仿宋"/>
                <w:b/>
                <w:bCs/>
              </w:rPr>
            </w:pPr>
          </w:p>
        </w:tc>
        <w:tc>
          <w:tcPr>
            <w:tcW w:w="31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大额贷款占比</w:t>
            </w:r>
          </w:p>
        </w:tc>
        <w:tc>
          <w:tcPr>
            <w:tcW w:w="38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大额贷款期末余额/各项贷款期末余额</w:t>
            </w:r>
          </w:p>
        </w:tc>
        <w:tc>
          <w:tcPr>
            <w:tcW w:w="22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逐年下降直至低于30%</w:t>
            </w:r>
          </w:p>
        </w:tc>
        <w:tc>
          <w:tcPr>
            <w:tcW w:w="406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大额贷款指单笔贷款超过（含）一级资本净额2.5%或5000万元人民币（孰低）的贷款</w:t>
            </w:r>
          </w:p>
        </w:tc>
      </w:tr>
      <w:tr>
        <w:tblPrEx>
          <w:tblCellMar>
            <w:top w:w="0" w:type="dxa"/>
            <w:left w:w="108" w:type="dxa"/>
            <w:bottom w:w="0" w:type="dxa"/>
            <w:right w:w="108" w:type="dxa"/>
          </w:tblCellMar>
        </w:tblPrEx>
        <w:trPr>
          <w:trHeight w:val="1320" w:hRule="atLeast"/>
        </w:trPr>
        <w:tc>
          <w:tcPr>
            <w:tcW w:w="631" w:type="dxa"/>
            <w:tcBorders>
              <w:top w:val="nil"/>
              <w:left w:val="single" w:color="auto" w:sz="4" w:space="0"/>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5</w:t>
            </w:r>
          </w:p>
        </w:tc>
        <w:tc>
          <w:tcPr>
            <w:tcW w:w="909" w:type="dxa"/>
            <w:vMerge w:val="restart"/>
            <w:tcBorders>
              <w:top w:val="nil"/>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b/>
                <w:bCs/>
              </w:rPr>
            </w:pPr>
            <w:r>
              <w:rPr>
                <w:rFonts w:hint="eastAsia" w:ascii="仿宋" w:hAnsi="仿宋" w:eastAsia="仿宋"/>
                <w:b/>
                <w:bCs/>
              </w:rPr>
              <w:t>金融供给</w:t>
            </w:r>
          </w:p>
        </w:tc>
        <w:tc>
          <w:tcPr>
            <w:tcW w:w="31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涉农与小微企业贷款增速</w:t>
            </w:r>
          </w:p>
        </w:tc>
        <w:tc>
          <w:tcPr>
            <w:tcW w:w="38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（涉农贷款与小微企业贷款扣除重复部分的期末余额-涉农贷款与小微企业贷款扣除重复部分的期初余额）/涉农贷款与小微企业贷款扣除重复部分的期初余额</w:t>
            </w:r>
          </w:p>
        </w:tc>
        <w:tc>
          <w:tcPr>
            <w:tcW w:w="22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≥各项贷款增速</w:t>
            </w:r>
          </w:p>
        </w:tc>
        <w:tc>
          <w:tcPr>
            <w:tcW w:w="406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 xml:space="preserve">涉农及小微企业贷款占比超过80%的， 可替换为“涉农与小微企业贷款余额持续增长”                           </w:t>
            </w:r>
          </w:p>
        </w:tc>
      </w:tr>
      <w:tr>
        <w:tblPrEx>
          <w:tblCellMar>
            <w:top w:w="0" w:type="dxa"/>
            <w:left w:w="108" w:type="dxa"/>
            <w:bottom w:w="0" w:type="dxa"/>
            <w:right w:w="108" w:type="dxa"/>
          </w:tblCellMar>
        </w:tblPrEx>
        <w:trPr>
          <w:trHeight w:val="2689" w:hRule="atLeast"/>
        </w:trPr>
        <w:tc>
          <w:tcPr>
            <w:tcW w:w="631" w:type="dxa"/>
            <w:tcBorders>
              <w:top w:val="single" w:color="auto" w:sz="4" w:space="0"/>
              <w:left w:val="single" w:color="auto" w:sz="4" w:space="0"/>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6</w:t>
            </w:r>
          </w:p>
        </w:tc>
        <w:tc>
          <w:tcPr>
            <w:tcW w:w="909" w:type="dxa"/>
            <w:vMerge w:val="continue"/>
            <w:tcBorders>
              <w:top w:val="single" w:color="auto" w:sz="4" w:space="0"/>
              <w:left w:val="single" w:color="auto" w:sz="4" w:space="0"/>
              <w:bottom w:val="single" w:color="000000" w:sz="4" w:space="0"/>
              <w:right w:val="single" w:color="auto" w:sz="4" w:space="0"/>
            </w:tcBorders>
            <w:vAlign w:val="center"/>
          </w:tcPr>
          <w:p>
            <w:pPr>
              <w:adjustRightInd w:val="0"/>
              <w:snapToGrid w:val="0"/>
              <w:rPr>
                <w:rFonts w:hint="eastAsia" w:ascii="仿宋" w:hAnsi="仿宋" w:eastAsia="仿宋"/>
                <w:b/>
                <w:bCs/>
              </w:rPr>
            </w:pPr>
          </w:p>
        </w:tc>
        <w:tc>
          <w:tcPr>
            <w:tcW w:w="310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普惠型农户贷款和普惠型小微企业贷款（扣除重复部分）增速</w:t>
            </w:r>
          </w:p>
        </w:tc>
        <w:tc>
          <w:tcPr>
            <w:tcW w:w="380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单户授信在500万元以下的农户贷款与单户授信1000万元以下小微企业贷款扣除重复部分的期末余额-单户授信在500万元以下的农户贷款与单户授信1000万元以下小微企业贷款扣除重复部分的期初余额）/单户授信在500万元以下的农户贷款与单户授信1000万元以下小微企业贷款扣除重复部分的期初余额</w:t>
            </w:r>
          </w:p>
        </w:tc>
        <w:tc>
          <w:tcPr>
            <w:tcW w:w="220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≥各项贷款增速</w:t>
            </w:r>
          </w:p>
        </w:tc>
        <w:tc>
          <w:tcPr>
            <w:tcW w:w="406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单户授信在500万元以下的农户贷款、单户授信1000万元以下小微企业贷款以及重复部分的计算口径参考银保监会非现场监管报表S71。</w:t>
            </w:r>
          </w:p>
        </w:tc>
      </w:tr>
      <w:tr>
        <w:tblPrEx>
          <w:tblCellMar>
            <w:top w:w="0" w:type="dxa"/>
            <w:left w:w="108" w:type="dxa"/>
            <w:bottom w:w="0" w:type="dxa"/>
            <w:right w:w="108" w:type="dxa"/>
          </w:tblCellMar>
        </w:tblPrEx>
        <w:trPr>
          <w:trHeight w:val="660" w:hRule="atLeast"/>
        </w:trPr>
        <w:tc>
          <w:tcPr>
            <w:tcW w:w="631" w:type="dxa"/>
            <w:tcBorders>
              <w:top w:val="nil"/>
              <w:left w:val="single" w:color="auto" w:sz="4" w:space="0"/>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7</w:t>
            </w:r>
          </w:p>
        </w:tc>
        <w:tc>
          <w:tcPr>
            <w:tcW w:w="909" w:type="dxa"/>
            <w:vMerge w:val="restart"/>
            <w:tcBorders>
              <w:top w:val="nil"/>
              <w:left w:val="single" w:color="auto" w:sz="4" w:space="0"/>
              <w:bottom w:val="single" w:color="000000" w:sz="4" w:space="0"/>
              <w:right w:val="single" w:color="auto" w:sz="4" w:space="0"/>
            </w:tcBorders>
            <w:shd w:val="clear" w:color="auto" w:fill="auto"/>
            <w:vAlign w:val="center"/>
          </w:tcPr>
          <w:p>
            <w:pPr>
              <w:adjustRightInd w:val="0"/>
              <w:snapToGrid w:val="0"/>
              <w:rPr>
                <w:rFonts w:hint="eastAsia" w:ascii="仿宋" w:hAnsi="仿宋" w:eastAsia="仿宋"/>
                <w:b/>
                <w:bCs/>
              </w:rPr>
            </w:pPr>
            <w:r>
              <w:rPr>
                <w:rFonts w:hint="eastAsia" w:ascii="仿宋" w:hAnsi="仿宋" w:eastAsia="仿宋"/>
                <w:b/>
                <w:bCs/>
              </w:rPr>
              <w:t>金融供给</w:t>
            </w:r>
          </w:p>
        </w:tc>
        <w:tc>
          <w:tcPr>
            <w:tcW w:w="31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农户授信覆盖面</w:t>
            </w:r>
          </w:p>
        </w:tc>
        <w:tc>
          <w:tcPr>
            <w:tcW w:w="38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授信农户户数期末余额/当地农户总户数期末余额</w:t>
            </w:r>
          </w:p>
        </w:tc>
        <w:tc>
          <w:tcPr>
            <w:tcW w:w="22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原则上逐年上升</w:t>
            </w:r>
          </w:p>
        </w:tc>
        <w:tc>
          <w:tcPr>
            <w:tcW w:w="4060" w:type="dxa"/>
            <w:tcBorders>
              <w:top w:val="nil"/>
              <w:left w:val="nil"/>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w:t>
            </w:r>
          </w:p>
        </w:tc>
      </w:tr>
      <w:tr>
        <w:tblPrEx>
          <w:tblCellMar>
            <w:top w:w="0" w:type="dxa"/>
            <w:left w:w="108" w:type="dxa"/>
            <w:bottom w:w="0" w:type="dxa"/>
            <w:right w:w="108" w:type="dxa"/>
          </w:tblCellMar>
        </w:tblPrEx>
        <w:trPr>
          <w:trHeight w:val="660" w:hRule="atLeast"/>
        </w:trPr>
        <w:tc>
          <w:tcPr>
            <w:tcW w:w="631" w:type="dxa"/>
            <w:tcBorders>
              <w:top w:val="nil"/>
              <w:left w:val="single" w:color="auto" w:sz="4" w:space="0"/>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8</w:t>
            </w:r>
          </w:p>
        </w:tc>
        <w:tc>
          <w:tcPr>
            <w:tcW w:w="909" w:type="dxa"/>
            <w:vMerge w:val="continue"/>
            <w:tcBorders>
              <w:top w:val="nil"/>
              <w:left w:val="single" w:color="auto" w:sz="4" w:space="0"/>
              <w:bottom w:val="single" w:color="000000" w:sz="4" w:space="0"/>
              <w:right w:val="single" w:color="auto" w:sz="4" w:space="0"/>
            </w:tcBorders>
            <w:vAlign w:val="center"/>
          </w:tcPr>
          <w:p>
            <w:pPr>
              <w:adjustRightInd w:val="0"/>
              <w:snapToGrid w:val="0"/>
              <w:rPr>
                <w:rFonts w:hint="eastAsia" w:ascii="仿宋" w:hAnsi="仿宋" w:eastAsia="仿宋"/>
                <w:b/>
                <w:bCs/>
              </w:rPr>
            </w:pPr>
          </w:p>
        </w:tc>
        <w:tc>
          <w:tcPr>
            <w:tcW w:w="31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小微企业授信覆盖面</w:t>
            </w:r>
          </w:p>
        </w:tc>
        <w:tc>
          <w:tcPr>
            <w:tcW w:w="38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授信小微企业户数期末余额/当地小微企业总户数期末余额</w:t>
            </w:r>
          </w:p>
        </w:tc>
        <w:tc>
          <w:tcPr>
            <w:tcW w:w="22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原则上逐年上升</w:t>
            </w:r>
          </w:p>
        </w:tc>
        <w:tc>
          <w:tcPr>
            <w:tcW w:w="4060" w:type="dxa"/>
            <w:tcBorders>
              <w:top w:val="nil"/>
              <w:left w:val="nil"/>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w:t>
            </w:r>
          </w:p>
        </w:tc>
      </w:tr>
      <w:tr>
        <w:trPr>
          <w:trHeight w:val="660" w:hRule="atLeast"/>
        </w:trPr>
        <w:tc>
          <w:tcPr>
            <w:tcW w:w="631" w:type="dxa"/>
            <w:tcBorders>
              <w:top w:val="nil"/>
              <w:left w:val="single" w:color="auto" w:sz="4" w:space="0"/>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9</w:t>
            </w:r>
          </w:p>
        </w:tc>
        <w:tc>
          <w:tcPr>
            <w:tcW w:w="909" w:type="dxa"/>
            <w:vMerge w:val="continue"/>
            <w:tcBorders>
              <w:top w:val="nil"/>
              <w:left w:val="single" w:color="auto" w:sz="4" w:space="0"/>
              <w:bottom w:val="single" w:color="000000" w:sz="4" w:space="0"/>
              <w:right w:val="single" w:color="auto" w:sz="4" w:space="0"/>
            </w:tcBorders>
            <w:vAlign w:val="center"/>
          </w:tcPr>
          <w:p>
            <w:pPr>
              <w:adjustRightInd w:val="0"/>
              <w:snapToGrid w:val="0"/>
              <w:rPr>
                <w:rFonts w:hint="eastAsia" w:ascii="仿宋" w:hAnsi="仿宋" w:eastAsia="仿宋"/>
                <w:b/>
                <w:bCs/>
              </w:rPr>
            </w:pPr>
          </w:p>
        </w:tc>
        <w:tc>
          <w:tcPr>
            <w:tcW w:w="31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农户与小微企业用信覆盖面</w:t>
            </w:r>
          </w:p>
        </w:tc>
        <w:tc>
          <w:tcPr>
            <w:tcW w:w="38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农户和小微企业的用信（贷款）户数/农户和小微企业的授信户数</w:t>
            </w:r>
          </w:p>
        </w:tc>
        <w:tc>
          <w:tcPr>
            <w:tcW w:w="22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原则上逐年上升</w:t>
            </w:r>
          </w:p>
        </w:tc>
        <w:tc>
          <w:tcPr>
            <w:tcW w:w="4060" w:type="dxa"/>
            <w:tcBorders>
              <w:top w:val="nil"/>
              <w:left w:val="nil"/>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w:t>
            </w:r>
          </w:p>
        </w:tc>
      </w:tr>
      <w:tr>
        <w:tblPrEx>
          <w:tblCellMar>
            <w:top w:w="0" w:type="dxa"/>
            <w:left w:w="108" w:type="dxa"/>
            <w:bottom w:w="0" w:type="dxa"/>
            <w:right w:w="108" w:type="dxa"/>
          </w:tblCellMar>
        </w:tblPrEx>
        <w:trPr>
          <w:trHeight w:val="840" w:hRule="atLeast"/>
        </w:trPr>
        <w:tc>
          <w:tcPr>
            <w:tcW w:w="631" w:type="dxa"/>
            <w:tcBorders>
              <w:top w:val="nil"/>
              <w:left w:val="single" w:color="auto" w:sz="4" w:space="0"/>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10</w:t>
            </w:r>
          </w:p>
        </w:tc>
        <w:tc>
          <w:tcPr>
            <w:tcW w:w="909" w:type="dxa"/>
            <w:vMerge w:val="restart"/>
            <w:tcBorders>
              <w:top w:val="nil"/>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b/>
                <w:bCs/>
              </w:rPr>
            </w:pPr>
            <w:r>
              <w:rPr>
                <w:rFonts w:hint="eastAsia" w:ascii="仿宋" w:hAnsi="仿宋" w:eastAsia="仿宋"/>
                <w:b/>
                <w:bCs/>
              </w:rPr>
              <w:t>金融基础设施</w:t>
            </w:r>
          </w:p>
        </w:tc>
        <w:tc>
          <w:tcPr>
            <w:tcW w:w="31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农户建档评级覆盖面</w:t>
            </w:r>
          </w:p>
        </w:tc>
        <w:tc>
          <w:tcPr>
            <w:tcW w:w="38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建档评级的农户户数期末余额/当地所有农户户数期末余额</w:t>
            </w:r>
          </w:p>
        </w:tc>
        <w:tc>
          <w:tcPr>
            <w:tcW w:w="22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原则上逐年上升</w:t>
            </w:r>
          </w:p>
        </w:tc>
        <w:tc>
          <w:tcPr>
            <w:tcW w:w="4060" w:type="dxa"/>
            <w:tcBorders>
              <w:top w:val="nil"/>
              <w:left w:val="nil"/>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w:t>
            </w:r>
          </w:p>
        </w:tc>
      </w:tr>
      <w:tr>
        <w:trPr>
          <w:trHeight w:val="840" w:hRule="atLeast"/>
        </w:trPr>
        <w:tc>
          <w:tcPr>
            <w:tcW w:w="631" w:type="dxa"/>
            <w:tcBorders>
              <w:top w:val="nil"/>
              <w:left w:val="single" w:color="auto" w:sz="4" w:space="0"/>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11</w:t>
            </w:r>
          </w:p>
        </w:tc>
        <w:tc>
          <w:tcPr>
            <w:tcW w:w="909" w:type="dxa"/>
            <w:vMerge w:val="continue"/>
            <w:tcBorders>
              <w:top w:val="nil"/>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b/>
                <w:bCs/>
              </w:rPr>
            </w:pPr>
          </w:p>
        </w:tc>
        <w:tc>
          <w:tcPr>
            <w:tcW w:w="31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小微企业建档评级覆盖面</w:t>
            </w:r>
          </w:p>
        </w:tc>
        <w:tc>
          <w:tcPr>
            <w:tcW w:w="38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建档评级的小微企业户数期末余额/当地所有小微企业户数期末余额</w:t>
            </w:r>
          </w:p>
        </w:tc>
        <w:tc>
          <w:tcPr>
            <w:tcW w:w="22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原则上逐年上升</w:t>
            </w:r>
          </w:p>
        </w:tc>
        <w:tc>
          <w:tcPr>
            <w:tcW w:w="4060" w:type="dxa"/>
            <w:tcBorders>
              <w:top w:val="nil"/>
              <w:left w:val="nil"/>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w:t>
            </w:r>
          </w:p>
        </w:tc>
      </w:tr>
      <w:tr>
        <w:tblPrEx>
          <w:tblCellMar>
            <w:top w:w="0" w:type="dxa"/>
            <w:left w:w="108" w:type="dxa"/>
            <w:bottom w:w="0" w:type="dxa"/>
            <w:right w:w="108" w:type="dxa"/>
          </w:tblCellMar>
        </w:tblPrEx>
        <w:trPr>
          <w:trHeight w:val="840" w:hRule="atLeast"/>
        </w:trPr>
        <w:tc>
          <w:tcPr>
            <w:tcW w:w="631" w:type="dxa"/>
            <w:tcBorders>
              <w:top w:val="nil"/>
              <w:left w:val="single" w:color="auto" w:sz="4" w:space="0"/>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12</w:t>
            </w:r>
          </w:p>
        </w:tc>
        <w:tc>
          <w:tcPr>
            <w:tcW w:w="909" w:type="dxa"/>
            <w:vMerge w:val="continue"/>
            <w:tcBorders>
              <w:top w:val="nil"/>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b/>
                <w:bCs/>
              </w:rPr>
            </w:pPr>
          </w:p>
        </w:tc>
        <w:tc>
          <w:tcPr>
            <w:tcW w:w="31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电子交易替代率</w:t>
            </w:r>
          </w:p>
        </w:tc>
        <w:tc>
          <w:tcPr>
            <w:tcW w:w="38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主要电子交易笔数/（主要电子交易笔数＋柜面交易笔数＋其他交易笔数）</w:t>
            </w:r>
          </w:p>
        </w:tc>
        <w:tc>
          <w:tcPr>
            <w:tcW w:w="22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逐年上升</w:t>
            </w:r>
          </w:p>
        </w:tc>
        <w:tc>
          <w:tcPr>
            <w:tcW w:w="4060" w:type="dxa"/>
            <w:tcBorders>
              <w:top w:val="nil"/>
              <w:left w:val="nil"/>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w:t>
            </w:r>
          </w:p>
        </w:tc>
      </w:tr>
      <w:tr>
        <w:tblPrEx>
          <w:tblCellMar>
            <w:top w:w="0" w:type="dxa"/>
            <w:left w:w="108" w:type="dxa"/>
            <w:bottom w:w="0" w:type="dxa"/>
            <w:right w:w="108" w:type="dxa"/>
          </w:tblCellMar>
        </w:tblPrEx>
        <w:trPr>
          <w:trHeight w:val="1485" w:hRule="atLeast"/>
        </w:trPr>
        <w:tc>
          <w:tcPr>
            <w:tcW w:w="631" w:type="dxa"/>
            <w:tcBorders>
              <w:top w:val="single" w:color="auto" w:sz="4" w:space="0"/>
              <w:left w:val="single" w:color="auto" w:sz="4" w:space="0"/>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13</w:t>
            </w:r>
          </w:p>
        </w:tc>
        <w:tc>
          <w:tcPr>
            <w:tcW w:w="90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b/>
                <w:bCs/>
              </w:rPr>
            </w:pPr>
            <w:r>
              <w:rPr>
                <w:rFonts w:hint="eastAsia" w:ascii="仿宋" w:hAnsi="仿宋" w:eastAsia="仿宋"/>
                <w:b/>
                <w:bCs/>
              </w:rPr>
              <w:t>金融服务机制</w:t>
            </w:r>
          </w:p>
        </w:tc>
        <w:tc>
          <w:tcPr>
            <w:tcW w:w="310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涉农贷款不良率容忍度</w:t>
            </w:r>
          </w:p>
        </w:tc>
        <w:tc>
          <w:tcPr>
            <w:tcW w:w="380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涉农不良贷款余额/涉农贷款余额</w:t>
            </w:r>
          </w:p>
        </w:tc>
        <w:tc>
          <w:tcPr>
            <w:tcW w:w="220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≤当地银行业金融机构各项贷款不良率以上3个百分点与5%的孰高值</w:t>
            </w:r>
          </w:p>
        </w:tc>
        <w:tc>
          <w:tcPr>
            <w:tcW w:w="4060" w:type="dxa"/>
            <w:tcBorders>
              <w:top w:val="single" w:color="auto" w:sz="4" w:space="0"/>
              <w:left w:val="nil"/>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w:t>
            </w:r>
          </w:p>
        </w:tc>
      </w:tr>
      <w:tr>
        <w:tblPrEx>
          <w:tblCellMar>
            <w:top w:w="0" w:type="dxa"/>
            <w:left w:w="108" w:type="dxa"/>
            <w:bottom w:w="0" w:type="dxa"/>
            <w:right w:w="108" w:type="dxa"/>
          </w:tblCellMar>
        </w:tblPrEx>
        <w:trPr>
          <w:trHeight w:val="1260" w:hRule="atLeast"/>
        </w:trPr>
        <w:tc>
          <w:tcPr>
            <w:tcW w:w="631" w:type="dxa"/>
            <w:tcBorders>
              <w:top w:val="nil"/>
              <w:left w:val="single" w:color="auto" w:sz="4" w:space="0"/>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14</w:t>
            </w:r>
          </w:p>
        </w:tc>
        <w:tc>
          <w:tcPr>
            <w:tcW w:w="909" w:type="dxa"/>
            <w:vMerge w:val="continue"/>
            <w:tcBorders>
              <w:top w:val="nil"/>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b/>
                <w:bCs/>
              </w:rPr>
            </w:pPr>
          </w:p>
        </w:tc>
        <w:tc>
          <w:tcPr>
            <w:tcW w:w="31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小微企业贷款不良率容忍度</w:t>
            </w:r>
          </w:p>
        </w:tc>
        <w:tc>
          <w:tcPr>
            <w:tcW w:w="38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小微企业不良贷款余额/小微企业贷款余额</w:t>
            </w:r>
          </w:p>
        </w:tc>
        <w:tc>
          <w:tcPr>
            <w:tcW w:w="22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≤自身各项贷款不良率之上3个百分点</w:t>
            </w:r>
          </w:p>
        </w:tc>
        <w:tc>
          <w:tcPr>
            <w:tcW w:w="4060" w:type="dxa"/>
            <w:tcBorders>
              <w:top w:val="nil"/>
              <w:left w:val="nil"/>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w:t>
            </w:r>
          </w:p>
        </w:tc>
      </w:tr>
      <w:tr>
        <w:tblPrEx>
          <w:tblCellMar>
            <w:top w:w="0" w:type="dxa"/>
            <w:left w:w="108" w:type="dxa"/>
            <w:bottom w:w="0" w:type="dxa"/>
            <w:right w:w="108" w:type="dxa"/>
          </w:tblCellMar>
        </w:tblPrEx>
        <w:trPr>
          <w:trHeight w:val="840" w:hRule="atLeast"/>
        </w:trPr>
        <w:tc>
          <w:tcPr>
            <w:tcW w:w="631" w:type="dxa"/>
            <w:tcBorders>
              <w:top w:val="nil"/>
              <w:left w:val="single" w:color="auto" w:sz="4" w:space="0"/>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15</w:t>
            </w:r>
          </w:p>
        </w:tc>
        <w:tc>
          <w:tcPr>
            <w:tcW w:w="909" w:type="dxa"/>
            <w:vMerge w:val="continue"/>
            <w:tcBorders>
              <w:top w:val="nil"/>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b/>
                <w:bCs/>
              </w:rPr>
            </w:pPr>
          </w:p>
        </w:tc>
        <w:tc>
          <w:tcPr>
            <w:tcW w:w="31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支农支小业务绩效考核倾斜度</w:t>
            </w:r>
          </w:p>
        </w:tc>
        <w:tc>
          <w:tcPr>
            <w:tcW w:w="38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支农支小贷款业务绩效考核指标权重</w:t>
            </w:r>
          </w:p>
        </w:tc>
        <w:tc>
          <w:tcPr>
            <w:tcW w:w="2200" w:type="dxa"/>
            <w:tcBorders>
              <w:top w:val="nil"/>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rPr>
            </w:pPr>
            <w:r>
              <w:rPr>
                <w:rFonts w:hint="eastAsia" w:ascii="仿宋" w:hAnsi="仿宋" w:eastAsia="仿宋"/>
              </w:rPr>
              <w:t>＞其他业务绩效考核指标权重</w:t>
            </w:r>
          </w:p>
        </w:tc>
        <w:tc>
          <w:tcPr>
            <w:tcW w:w="4060" w:type="dxa"/>
            <w:tcBorders>
              <w:top w:val="nil"/>
              <w:left w:val="nil"/>
              <w:bottom w:val="single" w:color="auto" w:sz="4" w:space="0"/>
              <w:right w:val="single" w:color="auto" w:sz="4" w:space="0"/>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w:t>
            </w:r>
          </w:p>
        </w:tc>
      </w:tr>
      <w:tr>
        <w:trPr>
          <w:trHeight w:val="555" w:hRule="atLeast"/>
        </w:trPr>
        <w:tc>
          <w:tcPr>
            <w:tcW w:w="14700" w:type="dxa"/>
            <w:gridSpan w:val="6"/>
            <w:tcBorders>
              <w:top w:val="single" w:color="auto" w:sz="4" w:space="0"/>
              <w:left w:val="nil"/>
              <w:bottom w:val="nil"/>
              <w:right w:val="nil"/>
            </w:tcBorders>
            <w:shd w:val="clear" w:color="auto" w:fill="auto"/>
            <w:noWrap/>
            <w:vAlign w:val="center"/>
          </w:tcPr>
          <w:p>
            <w:pPr>
              <w:adjustRightInd w:val="0"/>
              <w:snapToGrid w:val="0"/>
              <w:rPr>
                <w:rFonts w:hint="eastAsia" w:ascii="仿宋" w:hAnsi="仿宋" w:eastAsia="仿宋"/>
              </w:rPr>
            </w:pPr>
            <w:r>
              <w:rPr>
                <w:rFonts w:hint="eastAsia" w:ascii="仿宋" w:hAnsi="仿宋" w:eastAsia="仿宋"/>
              </w:rPr>
              <w:t>注：相关指标的目标值应根据银保监会和其他部门有关规定同步进行调整。</w:t>
            </w:r>
          </w:p>
        </w:tc>
      </w:tr>
    </w:tbl>
    <w:p>
      <w:pPr>
        <w:adjustRightInd w:val="0"/>
        <w:snapToGrid w:val="0"/>
        <w:spacing w:line="312" w:lineRule="auto"/>
        <w:rPr>
          <w:rFonts w:hint="eastAsia" w:ascii="仿宋" w:hAnsi="仿宋" w:eastAsia="仿宋"/>
        </w:rPr>
        <w:sectPr>
          <w:pgSz w:w="16838" w:h="11906" w:orient="landscape"/>
          <w:pgMar w:top="1797" w:right="1440" w:bottom="1797" w:left="1440" w:header="851" w:footer="992" w:gutter="0"/>
          <w:cols w:space="425" w:num="1"/>
          <w:docGrid w:type="lines" w:linePitch="312" w:charSpace="0"/>
        </w:sect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