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05" w:name="_Toc31415"/>
      <w:r>
        <w:rPr>
          <w:rFonts w:hint="eastAsia"/>
        </w:rPr>
        <w:t>5</w:t>
      </w:r>
      <w:r>
        <w:t>49--</w:t>
      </w:r>
      <w:r>
        <w:rPr>
          <w:rFonts w:hint="eastAsia"/>
        </w:rPr>
        <w:t>中国银保监会办公厅</w:t>
      </w:r>
      <w:r>
        <w:t>司法部办公厅关于简化查询已故存款人存款相关事项的通知</w:t>
      </w:r>
      <w:r>
        <w:br w:type="textWrapping"/>
      </w:r>
      <w:r>
        <w:rPr>
          <w:rFonts w:hint="eastAsia"/>
        </w:rPr>
        <w:t>（银保监办发〔2</w:t>
      </w:r>
      <w:r>
        <w:t>019</w:t>
      </w:r>
      <w:r>
        <w:rPr>
          <w:rFonts w:hint="eastAsia"/>
        </w:rPr>
        <w:t>〕</w:t>
      </w:r>
      <w:r>
        <w:t>107号</w:t>
      </w:r>
      <w:r>
        <w:rPr>
          <w:rFonts w:hint="eastAsia"/>
        </w:rPr>
        <w:t>）</w:t>
      </w:r>
      <w:bookmarkEnd w:id="1905"/>
    </w:p>
    <w:p>
      <w:pPr>
        <w:adjustRightInd w:val="0"/>
        <w:snapToGrid w:val="0"/>
        <w:spacing w:line="312" w:lineRule="auto"/>
        <w:rPr>
          <w:rFonts w:hint="eastAsia" w:ascii="仿宋" w:hAnsi="仿宋" w:eastAsia="仿宋"/>
        </w:rPr>
      </w:pPr>
      <w:r>
        <w:rPr>
          <w:rFonts w:hint="eastAsia" w:ascii="仿宋" w:hAnsi="仿宋" w:eastAsia="仿宋"/>
        </w:rPr>
        <w:t>各银保监局，各省、自治区、直辖市司法厅（局），新疆生产建设兵团司法局，各政策性银行、大型银行、股份制银行，邮储银行，外资银行，银行业协会：</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为进一步贯彻党中央、国务院关于减证便民、优化服务的部署要求，便利群众办理存款继承，根据《中华人民共和国商业银行法》《中华人民共和国公证法》</w:t>
      </w:r>
      <w:r>
        <w:rPr>
          <w:rFonts w:ascii="仿宋" w:hAnsi="仿宋" w:eastAsia="仿宋"/>
          <w:strike/>
        </w:rPr>
        <w:t>《中华人民共和国继承法》</w:t>
      </w:r>
      <w:r>
        <w:rPr>
          <w:rFonts w:hint="eastAsia" w:ascii="仿宋" w:hAnsi="仿宋" w:eastAsia="仿宋"/>
          <w:color w:val="0000FF"/>
        </w:rPr>
        <w:t>《中华人民共和国民法典》</w:t>
      </w:r>
      <w:r>
        <w:rPr>
          <w:rStyle w:val="54"/>
          <w:rFonts w:hint="eastAsia" w:ascii="仿宋" w:hAnsi="仿宋" w:eastAsia="仿宋"/>
          <w:color w:val="0000FF"/>
        </w:rPr>
        <w:footnoteReference w:id="81"/>
      </w:r>
      <w:r>
        <w:rPr>
          <w:rFonts w:ascii="仿宋" w:hAnsi="仿宋" w:eastAsia="仿宋"/>
        </w:rPr>
        <w:t>等相关规定，现就简化查询已故亲属存款相关事宜通知如下：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已故存款人的配偶、父母、子女凭已故存款人死亡证明、可表明亲属关系的文件（如居民户口簿、结婚证、出生证明等）以及本人有效身份证件，公证遗嘱指定的继承人或受遗赠人凭已故存款人死亡证明、公证遗嘱及本人有效身份证件，可单独或共同向存款所在银行业金融机构提交书面申请，办理存款查询业务。查询范围包括存款余额、银行业金融机构自身发行或管理的非存款类金融资产的余额。银行业金融机构经形式审查符合要求后，应书面告知申请人所查询余额。对代销且无法确定金额的第三方产品，银行业金融机构应告知申请人到相关机构查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本通知未尽事宜，按照《司法部</w:t>
      </w:r>
      <w:r>
        <w:rPr>
          <w:rFonts w:ascii="仿宋" w:hAnsi="仿宋" w:eastAsia="仿宋"/>
        </w:rPr>
        <w:t>中国银行业监督管理委员会关于在办理继承公证过程中查询被继承人名下存款等事宜的通知》（司发通〔2013〕78号）执行。通知执行过程中遇到的问题，由银保监会会同司法部解释。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附件：存款查询情况告知书（参考样本）</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2019年4月4日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（此件发至银保监分局和地方法人银行业金融机构、外国银行分行）</w:t>
      </w: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存款查询情况告知书</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（参考样本）</w:t>
      </w:r>
    </w:p>
    <w:p>
      <w:pPr>
        <w:adjustRightInd w:val="0"/>
        <w:snapToGrid w:val="0"/>
        <w:spacing w:line="312" w:lineRule="auto"/>
        <w:rPr>
          <w:rFonts w:hint="eastAsia" w:ascii="仿宋" w:hAnsi="仿宋" w:eastAsia="仿宋"/>
        </w:rPr>
      </w:pPr>
      <w:r>
        <w:rPr>
          <w:rFonts w:hint="eastAsia" w:ascii="仿宋" w:hAnsi="仿宋" w:eastAsia="仿宋"/>
        </w:rPr>
        <w:t>XXX（查询申请人）：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根据您（你们）于XXXX年XX月XX日提交的关于XXX（已故存款人）名下个人存款余额、非存款类金融资产信息的查询申请以及相关资料，经查询，现将查询情况告知如下：</w:t>
      </w:r>
    </w:p>
    <w:p>
      <w:pPr>
        <w:numPr>
          <w:ilvl w:val="0"/>
          <w:numId w:val="40"/>
        </w:numPr>
        <w:adjustRightInd w:val="0"/>
        <w:snapToGrid w:val="0"/>
        <w:spacing w:line="312" w:lineRule="auto"/>
        <w:ind w:firstLine="420" w:firstLineChars="200"/>
        <w:rPr>
          <w:rFonts w:hint="eastAsia" w:ascii="仿宋" w:hAnsi="仿宋" w:eastAsia="仿宋"/>
        </w:rPr>
      </w:pPr>
      <w:r>
        <w:rPr>
          <w:rFonts w:hint="eastAsia" w:ascii="仿宋" w:hAnsi="仿宋" w:eastAsia="仿宋"/>
        </w:rPr>
        <w:t>存款余额情况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存款人姓名（户名）：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存款人身份证件类型及号码：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存款基本情况：</w:t>
      </w:r>
    </w:p>
    <w:tbl>
      <w:tblPr>
        <w:tblStyle w:val="42"/>
        <w:tblW w:w="8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1903"/>
        <w:gridCol w:w="1911"/>
        <w:gridCol w:w="122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734" w:type="dxa"/>
          </w:tcPr>
          <w:p>
            <w:pPr>
              <w:adjustRightInd w:val="0"/>
              <w:snapToGrid w:val="0"/>
              <w:rPr>
                <w:rFonts w:hint="eastAsia" w:ascii="仿宋" w:hAnsi="仿宋" w:eastAsia="仿宋"/>
              </w:rPr>
            </w:pPr>
            <w:r>
              <w:rPr>
                <w:rFonts w:hint="eastAsia" w:ascii="仿宋" w:hAnsi="仿宋" w:eastAsia="仿宋"/>
              </w:rPr>
              <w:t>账号/卡号</w:t>
            </w:r>
          </w:p>
        </w:tc>
        <w:tc>
          <w:tcPr>
            <w:tcW w:w="1903" w:type="dxa"/>
          </w:tcPr>
          <w:p>
            <w:pPr>
              <w:adjustRightInd w:val="0"/>
              <w:snapToGrid w:val="0"/>
              <w:rPr>
                <w:rFonts w:hint="eastAsia" w:ascii="仿宋" w:hAnsi="仿宋" w:eastAsia="仿宋"/>
              </w:rPr>
            </w:pPr>
            <w:r>
              <w:rPr>
                <w:rFonts w:hint="eastAsia" w:ascii="仿宋" w:hAnsi="仿宋" w:eastAsia="仿宋"/>
              </w:rPr>
              <w:t>定期存款到期日（活期可不填）</w:t>
            </w:r>
          </w:p>
        </w:tc>
        <w:tc>
          <w:tcPr>
            <w:tcW w:w="1911" w:type="dxa"/>
          </w:tcPr>
          <w:p>
            <w:pPr>
              <w:adjustRightInd w:val="0"/>
              <w:snapToGrid w:val="0"/>
              <w:rPr>
                <w:rFonts w:hint="eastAsia" w:ascii="仿宋" w:hAnsi="仿宋" w:eastAsia="仿宋"/>
              </w:rPr>
            </w:pPr>
            <w:r>
              <w:rPr>
                <w:rFonts w:hint="eastAsia" w:ascii="仿宋" w:hAnsi="仿宋" w:eastAsia="仿宋"/>
              </w:rPr>
              <w:t>截至查询日余额</w:t>
            </w:r>
          </w:p>
        </w:tc>
        <w:tc>
          <w:tcPr>
            <w:tcW w:w="1221" w:type="dxa"/>
          </w:tcPr>
          <w:p>
            <w:pPr>
              <w:adjustRightInd w:val="0"/>
              <w:snapToGrid w:val="0"/>
              <w:rPr>
                <w:rFonts w:hint="eastAsia" w:ascii="仿宋" w:hAnsi="仿宋" w:eastAsia="仿宋"/>
              </w:rPr>
            </w:pPr>
            <w:r>
              <w:rPr>
                <w:rFonts w:hint="eastAsia" w:ascii="仿宋" w:hAnsi="仿宋" w:eastAsia="仿宋"/>
              </w:rPr>
              <w:t>币种</w:t>
            </w:r>
          </w:p>
        </w:tc>
        <w:tc>
          <w:tcPr>
            <w:tcW w:w="1451" w:type="dxa"/>
          </w:tcPr>
          <w:p>
            <w:pPr>
              <w:adjustRightInd w:val="0"/>
              <w:snapToGrid w:val="0"/>
              <w:rPr>
                <w:rFonts w:hint="eastAsia" w:ascii="仿宋" w:hAnsi="仿宋" w:eastAsia="仿宋"/>
              </w:rPr>
            </w:pPr>
            <w:r>
              <w:rPr>
                <w:rFonts w:hint="eastAsia" w:ascii="仿宋" w:hAnsi="仿宋" w:eastAsia="仿宋"/>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734" w:type="dxa"/>
          </w:tcPr>
          <w:p>
            <w:pPr>
              <w:adjustRightInd w:val="0"/>
              <w:snapToGrid w:val="0"/>
              <w:rPr>
                <w:rFonts w:hint="eastAsia" w:ascii="仿宋" w:hAnsi="仿宋" w:eastAsia="仿宋"/>
              </w:rPr>
            </w:pPr>
          </w:p>
        </w:tc>
        <w:tc>
          <w:tcPr>
            <w:tcW w:w="1903" w:type="dxa"/>
          </w:tcPr>
          <w:p>
            <w:pPr>
              <w:adjustRightInd w:val="0"/>
              <w:snapToGrid w:val="0"/>
              <w:rPr>
                <w:rFonts w:hint="eastAsia" w:ascii="仿宋" w:hAnsi="仿宋" w:eastAsia="仿宋"/>
              </w:rPr>
            </w:pPr>
          </w:p>
        </w:tc>
        <w:tc>
          <w:tcPr>
            <w:tcW w:w="1911" w:type="dxa"/>
          </w:tcPr>
          <w:p>
            <w:pPr>
              <w:adjustRightInd w:val="0"/>
              <w:snapToGrid w:val="0"/>
              <w:rPr>
                <w:rFonts w:hint="eastAsia" w:ascii="仿宋" w:hAnsi="仿宋" w:eastAsia="仿宋"/>
              </w:rPr>
            </w:pPr>
          </w:p>
        </w:tc>
        <w:tc>
          <w:tcPr>
            <w:tcW w:w="1221" w:type="dxa"/>
          </w:tcPr>
          <w:p>
            <w:pPr>
              <w:adjustRightInd w:val="0"/>
              <w:snapToGrid w:val="0"/>
              <w:rPr>
                <w:rFonts w:hint="eastAsia" w:ascii="仿宋" w:hAnsi="仿宋" w:eastAsia="仿宋"/>
              </w:rPr>
            </w:pPr>
          </w:p>
        </w:tc>
        <w:tc>
          <w:tcPr>
            <w:tcW w:w="1451" w:type="dxa"/>
          </w:tcPr>
          <w:p>
            <w:pPr>
              <w:adjustRightInd w:val="0"/>
              <w:snapToGrid w:val="0"/>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734" w:type="dxa"/>
          </w:tcPr>
          <w:p>
            <w:pPr>
              <w:adjustRightInd w:val="0"/>
              <w:snapToGrid w:val="0"/>
              <w:rPr>
                <w:rFonts w:hint="eastAsia" w:ascii="仿宋" w:hAnsi="仿宋" w:eastAsia="仿宋"/>
              </w:rPr>
            </w:pPr>
          </w:p>
        </w:tc>
        <w:tc>
          <w:tcPr>
            <w:tcW w:w="1903" w:type="dxa"/>
          </w:tcPr>
          <w:p>
            <w:pPr>
              <w:adjustRightInd w:val="0"/>
              <w:snapToGrid w:val="0"/>
              <w:rPr>
                <w:rFonts w:hint="eastAsia" w:ascii="仿宋" w:hAnsi="仿宋" w:eastAsia="仿宋"/>
              </w:rPr>
            </w:pPr>
          </w:p>
        </w:tc>
        <w:tc>
          <w:tcPr>
            <w:tcW w:w="1911" w:type="dxa"/>
          </w:tcPr>
          <w:p>
            <w:pPr>
              <w:adjustRightInd w:val="0"/>
              <w:snapToGrid w:val="0"/>
              <w:rPr>
                <w:rFonts w:hint="eastAsia" w:ascii="仿宋" w:hAnsi="仿宋" w:eastAsia="仿宋"/>
              </w:rPr>
            </w:pPr>
          </w:p>
        </w:tc>
        <w:tc>
          <w:tcPr>
            <w:tcW w:w="1221" w:type="dxa"/>
          </w:tcPr>
          <w:p>
            <w:pPr>
              <w:adjustRightInd w:val="0"/>
              <w:snapToGrid w:val="0"/>
              <w:rPr>
                <w:rFonts w:hint="eastAsia" w:ascii="仿宋" w:hAnsi="仿宋" w:eastAsia="仿宋"/>
              </w:rPr>
            </w:pPr>
          </w:p>
        </w:tc>
        <w:tc>
          <w:tcPr>
            <w:tcW w:w="1451" w:type="dxa"/>
          </w:tcPr>
          <w:p>
            <w:pPr>
              <w:adjustRightInd w:val="0"/>
              <w:snapToGrid w:val="0"/>
              <w:rPr>
                <w:rFonts w:hint="eastAsia" w:ascii="仿宋" w:hAnsi="仿宋" w:eastAsia="仿宋"/>
              </w:rPr>
            </w:pPr>
          </w:p>
        </w:tc>
      </w:tr>
    </w:tbl>
    <w:p>
      <w:pPr>
        <w:numPr>
          <w:ilvl w:val="0"/>
          <w:numId w:val="40"/>
        </w:numPr>
        <w:adjustRightInd w:val="0"/>
        <w:snapToGrid w:val="0"/>
        <w:spacing w:line="312" w:lineRule="auto"/>
        <w:ind w:firstLine="420" w:firstLineChars="200"/>
        <w:rPr>
          <w:rFonts w:hint="eastAsia" w:ascii="仿宋" w:hAnsi="仿宋" w:eastAsia="仿宋"/>
        </w:rPr>
      </w:pPr>
      <w:r>
        <w:rPr>
          <w:rFonts w:hint="eastAsia" w:ascii="仿宋" w:hAnsi="仿宋" w:eastAsia="仿宋"/>
        </w:rPr>
        <w:t>可确定金额的非存款类金融资产余额：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□理财产品：</w:t>
      </w:r>
      <w:r>
        <w:rPr>
          <w:rFonts w:ascii="仿宋" w:hAnsi="仿宋" w:eastAsia="仿宋"/>
          <w:u w:val="single"/>
        </w:rPr>
        <w:t xml:space="preserve">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□其他：</w:t>
      </w:r>
      <w:r>
        <w:rPr>
          <w:rFonts w:ascii="仿宋" w:hAnsi="仿宋" w:eastAsia="仿宋"/>
          <w:u w:val="single"/>
        </w:rPr>
        <w:t xml:space="preserve">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（可另纸出具）</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XXX金融机构（印章）</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XX年XX月XX日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注：</w:t>
      </w:r>
    </w:p>
    <w:p>
      <w:pPr>
        <w:numPr>
          <w:ilvl w:val="0"/>
          <w:numId w:val="41"/>
        </w:numPr>
        <w:adjustRightInd w:val="0"/>
        <w:snapToGrid w:val="0"/>
        <w:spacing w:line="312" w:lineRule="auto"/>
        <w:ind w:firstLine="420" w:firstLineChars="200"/>
        <w:rPr>
          <w:rFonts w:hint="eastAsia" w:ascii="仿宋" w:hAnsi="仿宋" w:eastAsia="仿宋"/>
        </w:rPr>
      </w:pPr>
      <w:r>
        <w:rPr>
          <w:rFonts w:hint="eastAsia" w:ascii="仿宋" w:hAnsi="仿宋" w:eastAsia="仿宋"/>
        </w:rPr>
        <w:t>本告知书仅适用于已故存款人存款的查询程序，不得用于其他用途。</w:t>
      </w:r>
    </w:p>
    <w:p>
      <w:pPr>
        <w:numPr>
          <w:ilvl w:val="0"/>
          <w:numId w:val="41"/>
        </w:numPr>
        <w:adjustRightInd w:val="0"/>
        <w:snapToGrid w:val="0"/>
        <w:spacing w:line="312" w:lineRule="auto"/>
        <w:ind w:firstLine="420" w:firstLineChars="200"/>
        <w:rPr>
          <w:rFonts w:hint="eastAsia" w:ascii="仿宋" w:hAnsi="仿宋" w:eastAsia="仿宋"/>
        </w:rPr>
      </w:pPr>
      <w:r>
        <w:rPr>
          <w:rFonts w:hint="eastAsia" w:ascii="仿宋" w:hAnsi="仿宋" w:eastAsia="仿宋"/>
        </w:rPr>
        <w:t>对于存款余额，应告知查询日可确定的金额；定期存款应当列明到期时间。</w:t>
      </w:r>
    </w:p>
    <w:p>
      <w:pPr>
        <w:numPr>
          <w:ilvl w:val="0"/>
          <w:numId w:val="41"/>
        </w:numPr>
        <w:adjustRightInd w:val="0"/>
        <w:snapToGrid w:val="0"/>
        <w:spacing w:line="312" w:lineRule="auto"/>
        <w:ind w:firstLine="420" w:firstLineChars="200"/>
        <w:rPr>
          <w:rFonts w:hint="eastAsia" w:ascii="仿宋" w:hAnsi="仿宋" w:eastAsia="仿宋"/>
        </w:rPr>
      </w:pPr>
      <w:r>
        <w:rPr>
          <w:rFonts w:hint="eastAsia" w:ascii="仿宋" w:hAnsi="仿宋" w:eastAsia="仿宋"/>
        </w:rPr>
        <w:t>存款如处于冻结等权利受限状态的，请在“备注”栏中注明。</w:t>
      </w:r>
    </w:p>
    <w:p>
      <w:pPr>
        <w:numPr>
          <w:ilvl w:val="0"/>
          <w:numId w:val="41"/>
        </w:numPr>
        <w:adjustRightInd w:val="0"/>
        <w:snapToGrid w:val="0"/>
        <w:spacing w:line="312" w:lineRule="auto"/>
        <w:ind w:firstLine="420" w:firstLineChars="200"/>
        <w:rPr>
          <w:rFonts w:hint="eastAsia" w:ascii="仿宋" w:hAnsi="仿宋" w:eastAsia="仿宋"/>
        </w:rPr>
      </w:pPr>
      <w:r>
        <w:rPr>
          <w:rFonts w:hint="eastAsia" w:ascii="仿宋" w:hAnsi="仿宋" w:eastAsia="仿宋"/>
        </w:rPr>
        <w:t>对于理财、基金等非存款类金融资产，无法提供当日净值的，可告知上一交易日净值并向申请查询人予以说明；无法提供净值的，可告知资产购入价款并向申请查询人予以说明。非存款类金融资产难以确定金额的，应告知查询申请人到相应机构办理查询。</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