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64" w:name="_Toc518835904"/>
      <w:bookmarkStart w:id="165" w:name="_Toc4111"/>
      <w:r>
        <w:rPr>
          <w:rFonts w:hint="eastAsia"/>
        </w:rPr>
        <w:t>57--中国银监会关于印发《小企业贷款风险分类办法（试行）》的通知</w:t>
      </w:r>
      <w:r>
        <w:rPr>
          <w:rFonts w:hint="eastAsia"/>
        </w:rPr>
        <w:br w:type="textWrapping"/>
      </w:r>
      <w:r>
        <w:rPr>
          <w:rFonts w:hint="eastAsia"/>
        </w:rPr>
        <w:t>（银监发〔2007〕63号）</w:t>
      </w:r>
      <w:bookmarkEnd w:id="164"/>
      <w:bookmarkEnd w:id="165"/>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w:t>
      </w:r>
    </w:p>
    <w:p>
      <w:pPr>
        <w:adjustRightInd w:val="0"/>
        <w:snapToGrid w:val="0"/>
        <w:spacing w:line="312" w:lineRule="auto"/>
        <w:ind w:firstLine="420" w:firstLineChars="200"/>
        <w:rPr>
          <w:rFonts w:hint="eastAsia" w:ascii="仿宋" w:hAnsi="仿宋" w:eastAsia="仿宋"/>
        </w:rPr>
      </w:pPr>
      <w:r>
        <w:rPr>
          <w:rFonts w:ascii="仿宋" w:hAnsi="仿宋" w:eastAsia="仿宋"/>
        </w:rPr>
        <w:t>现将《小企业贷款风险分类办法（试行）》印发给你们，请认真贯彻落实。</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请各银监局将本通知</w:t>
      </w:r>
      <w:r>
        <w:rPr>
          <w:rFonts w:ascii="仿宋" w:hAnsi="仿宋" w:eastAsia="仿宋"/>
        </w:rPr>
        <w:br w:type="textWrapping"/>
      </w:r>
      <w:r>
        <w:rPr>
          <w:rFonts w:ascii="仿宋" w:hAnsi="仿宋" w:eastAsia="仿宋"/>
        </w:rPr>
        <w:t>转发至辖内各银行业金融机构，并督促其遵照执行。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二○○七年七月二十日</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小企业贷款风险分类办法（试行）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促进银行业金融机构完善对小企业的金融服务，加强对小企业贷款的管理，科学评估小企业贷款质量，根据《银行开展小企业授信工作指导意见》、《贷款风险分类指引》、《商业银行小企业授信工作尽职指引（试行）》及其他法规，制定本办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本办法所称小企业贷款是指《银行开展小企业授信工作指导意见》规定的对各类小企业、从事经营活动的法人组织和个体经营户的经营性贷款。</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本办法适用于政策性银行、国有商业银行、股份制商业银行、城市商业银行、农村商业银行、农村合作银行、城市信用社、农村信用社、村镇银行和外资银行等银行业金融机构。</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银行业金融机构应按照本办法将小企业贷款至少划分为正常、关注、次级、可疑和损失五类，后三类合称不良贷款。</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银行业金融机构可根据贷款逾期时间，同时考虑借款人的风险特征和担保因素，参照小企业贷款逾期天数风险分类矩阵（见附件）对小企业贷款进行分类。</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发生《商业银行小企业授信工作尽职指引（试行）》</w:t>
      </w:r>
      <w:r>
        <w:rPr>
          <w:rFonts w:ascii="仿宋" w:hAnsi="仿宋" w:eastAsia="仿宋"/>
          <w:b/>
        </w:rPr>
        <w:t>第十八条</w:t>
      </w:r>
      <w:r>
        <w:rPr>
          <w:rFonts w:ascii="仿宋" w:hAnsi="仿宋" w:eastAsia="仿宋"/>
        </w:rPr>
        <w:t>所列举的影响小企业履约能力的重大事项以及出现该指引“附录”所列举的预警信号时，小企业贷款的分类应在逾期天数风险分类矩阵的基础上至少下调一级。</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贷款发生逾期后，借款人或担保人能够追加提供履约保证金、变现能力强的抵质押物等低风险担保，且贷款风险可控，资产安全有保障的，贷款风险分类级别可以上调。</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本办法规定的贷款分类方式是小企业贷款风险分类的最低要求。银监会鼓励银行业金融机构根据自身信贷管理和风险防范的特点和需要，采用更先进的技术和更准确的方法对小企业贷款进行风险分类，制定实施细则，细化分类方法，并与本办法的贷款风险分类结果具有明确的对应和转换关系。银行业金融机构据此制定的小企业贷款风险分类制度及实施细则应向中国银监会或其派出机构报备。</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银行业金融机构应在小企业贷款风险分类的基础上，根据有关规定及时足额计提贷款损失准备，核销小企业贷款损失。</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本办法由中国银监会负责解释和修改。</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本办法自发布之日起施行。</w:t>
      </w:r>
    </w:p>
    <w:p>
      <w:pPr>
        <w:adjustRightInd w:val="0"/>
        <w:snapToGrid w:val="0"/>
        <w:spacing w:line="312" w:lineRule="auto"/>
        <w:ind w:firstLine="420" w:firstLineChars="200"/>
        <w:rPr>
          <w:rFonts w:hint="eastAsia" w:ascii="仿宋" w:hAnsi="仿宋" w:eastAsia="仿宋"/>
        </w:rPr>
      </w:pPr>
      <w:r>
        <w:rPr>
          <w:rFonts w:ascii="仿宋" w:hAnsi="仿宋" w:eastAsia="仿宋"/>
        </w:rPr>
        <w:t>附件：小企业贷款逾期天数风险分类矩阵</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2" w:firstLineChars="200"/>
        <w:jc w:val="center"/>
        <w:rPr>
          <w:rFonts w:hint="eastAsia" w:ascii="仿宋" w:hAnsi="仿宋" w:eastAsia="仿宋"/>
          <w:b/>
          <w:bCs/>
        </w:rPr>
      </w:pPr>
      <w:r>
        <w:rPr>
          <w:rFonts w:ascii="仿宋" w:hAnsi="仿宋" w:eastAsia="仿宋"/>
          <w:b/>
          <w:bCs/>
        </w:rPr>
        <w:t>小企业贷款逾期天数风险分类矩阵</w:t>
      </w:r>
    </w:p>
    <w:p>
      <w:pPr>
        <w:adjustRightInd w:val="0"/>
        <w:snapToGrid w:val="0"/>
        <w:spacing w:line="312" w:lineRule="auto"/>
        <w:ind w:firstLine="420" w:firstLineChars="200"/>
        <w:rPr>
          <w:rFonts w:hint="eastAsia" w:ascii="仿宋" w:hAnsi="仿宋" w:eastAsia="仿宋"/>
        </w:rPr>
      </w:pPr>
    </w:p>
    <w:tbl>
      <w:tblPr>
        <w:tblStyle w:val="42"/>
        <w:tblW w:w="0" w:type="auto"/>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85"/>
        <w:gridCol w:w="1134"/>
        <w:gridCol w:w="1134"/>
        <w:gridCol w:w="1275"/>
        <w:gridCol w:w="1418"/>
        <w:gridCol w:w="1254"/>
        <w:gridCol w:w="108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704"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仿宋" w:hAnsi="仿宋" w:eastAsia="仿宋" w:cs="宋体"/>
                <w:color w:val="212121"/>
                <w:kern w:val="0"/>
                <w:sz w:val="24"/>
                <w:szCs w:val="24"/>
              </w:rPr>
            </w:pPr>
            <w:r>
              <w:rPr>
                <w:rFonts w:hint="eastAsia" w:ascii="仿宋" w:hAnsi="仿宋" w:eastAsia="仿宋" w:cs="Times New Roman"/>
                <w:kern w:val="0"/>
                <w:sz w:val="20"/>
                <w:szCs w:val="20"/>
              </w:rPr>
              <mc:AlternateContent>
                <mc:Choice Requires="wps">
                  <w:drawing>
                    <wp:anchor distT="0" distB="0" distL="0" distR="0" simplePos="0" relativeHeight="251662336" behindDoc="0" locked="0" layoutInCell="1" allowOverlap="0">
                      <wp:simplePos x="0" y="0"/>
                      <wp:positionH relativeFrom="column">
                        <wp:align>left</wp:align>
                      </wp:positionH>
                      <wp:positionV relativeFrom="line">
                        <wp:posOffset>0</wp:posOffset>
                      </wp:positionV>
                      <wp:extent cx="152400" cy="152400"/>
                      <wp:effectExtent l="0" t="0" r="0" b="0"/>
                      <wp:wrapSquare wrapText="bothSides"/>
                      <wp:docPr id="469872844" name="alttext-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wps:spPr>
                            <wps:bodyPr rot="0" vert="horz" wrap="square" lIns="91440" tIns="45720" rIns="91440" bIns="45720" anchor="t" anchorCtr="0" upright="1">
                              <a:noAutofit/>
                            </wps:bodyPr>
                          </wps:wsp>
                        </a:graphicData>
                      </a:graphic>
                    </wp:anchor>
                  </w:drawing>
                </mc:Choice>
                <mc:Fallback>
                  <w:pict>
                    <v:rect id="alttext-image" o:spid="_x0000_s1026" o:spt="1" style="position:absolute;left:0pt;margin-top:0pt;height:12pt;width:12pt;mso-position-horizontal:left;mso-position-vertical-relative:line;mso-wrap-distance-bottom:0pt;mso-wrap-distance-left:0pt;mso-wrap-distance-right:0pt;mso-wrap-distance-top:0pt;z-index:251662336;mso-width-relative:page;mso-height-relative:page;" filled="f" stroked="f" coordsize="21600,21600" o:allowoverlap="f" o:gfxdata="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vOITL0gAAAAMBAAAPAAAAAAAAAAEAIAAAACIAAABkcnMvZG93&#10;bnJldi54bWxQSwECFAAUAAAACACHTuJAs8URjgYCAAAcBAAADgAAAAAAAAABACAAAAAhAQAAZHJz&#10;L2Uyb0RvYy54bWxQSwUGAAAAAAYABgBZAQAAmQUAAAAA&#10;">
                      <v:fill on="f" focussize="0,0"/>
                      <v:stroke on="f"/>
                      <v:imagedata o:title=""/>
                      <o:lock v:ext="edit" aspectratio="t"/>
                      <w10:wrap type="square"/>
                    </v:rect>
                  </w:pict>
                </mc:Fallback>
              </mc:AlternateContent>
            </w:r>
          </w:p>
        </w:tc>
        <w:tc>
          <w:tcPr>
            <w:tcW w:w="113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仿宋" w:hAnsi="仿宋" w:eastAsia="仿宋" w:cs="宋体"/>
                <w:color w:val="212121"/>
                <w:kern w:val="0"/>
                <w:szCs w:val="21"/>
              </w:rPr>
            </w:pPr>
            <w:r>
              <w:rPr>
                <w:rFonts w:hint="eastAsia" w:ascii="仿宋" w:hAnsi="仿宋" w:eastAsia="仿宋" w:cs="宋体"/>
                <w:color w:val="212121"/>
                <w:kern w:val="0"/>
                <w:szCs w:val="21"/>
              </w:rPr>
              <w:t>未逾期</w:t>
            </w:r>
          </w:p>
        </w:tc>
        <w:tc>
          <w:tcPr>
            <w:tcW w:w="113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仿宋" w:hAnsi="仿宋" w:eastAsia="仿宋" w:cs="宋体"/>
                <w:color w:val="212121"/>
                <w:kern w:val="0"/>
                <w:szCs w:val="21"/>
              </w:rPr>
            </w:pPr>
            <w:r>
              <w:rPr>
                <w:rFonts w:hint="eastAsia" w:ascii="仿宋" w:hAnsi="仿宋" w:eastAsia="仿宋" w:cs="宋体"/>
                <w:color w:val="212121"/>
                <w:kern w:val="0"/>
                <w:szCs w:val="21"/>
              </w:rPr>
              <w:t>1至30天</w:t>
            </w:r>
          </w:p>
        </w:tc>
        <w:tc>
          <w:tcPr>
            <w:tcW w:w="127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仿宋" w:hAnsi="仿宋" w:eastAsia="仿宋" w:cs="宋体"/>
                <w:color w:val="212121"/>
                <w:kern w:val="0"/>
                <w:szCs w:val="21"/>
              </w:rPr>
            </w:pPr>
            <w:r>
              <w:rPr>
                <w:rFonts w:hint="eastAsia" w:ascii="仿宋" w:hAnsi="仿宋" w:eastAsia="仿宋" w:cs="宋体"/>
                <w:color w:val="212121"/>
                <w:kern w:val="0"/>
                <w:szCs w:val="21"/>
              </w:rPr>
              <w:t>31至90天</w:t>
            </w:r>
          </w:p>
        </w:tc>
        <w:tc>
          <w:tcPr>
            <w:tcW w:w="141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仿宋" w:hAnsi="仿宋" w:eastAsia="仿宋" w:cs="宋体"/>
                <w:color w:val="212121"/>
                <w:kern w:val="0"/>
                <w:szCs w:val="21"/>
              </w:rPr>
            </w:pPr>
            <w:r>
              <w:rPr>
                <w:rFonts w:hint="eastAsia" w:ascii="仿宋" w:hAnsi="仿宋" w:eastAsia="仿宋" w:cs="宋体"/>
                <w:color w:val="212121"/>
                <w:kern w:val="0"/>
                <w:szCs w:val="21"/>
              </w:rPr>
              <w:t>91至180天</w:t>
            </w:r>
          </w:p>
        </w:tc>
        <w:tc>
          <w:tcPr>
            <w:tcW w:w="125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仿宋" w:hAnsi="仿宋" w:eastAsia="仿宋" w:cs="宋体"/>
                <w:color w:val="212121"/>
                <w:kern w:val="0"/>
                <w:szCs w:val="21"/>
              </w:rPr>
            </w:pPr>
            <w:r>
              <w:rPr>
                <w:rFonts w:hint="eastAsia" w:ascii="仿宋" w:hAnsi="仿宋" w:eastAsia="仿宋" w:cs="宋体"/>
                <w:color w:val="212121"/>
                <w:kern w:val="0"/>
                <w:szCs w:val="21"/>
              </w:rPr>
              <w:t>181至360天</w:t>
            </w:r>
          </w:p>
        </w:tc>
        <w:tc>
          <w:tcPr>
            <w:tcW w:w="108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仿宋" w:hAnsi="仿宋" w:eastAsia="仿宋" w:cs="宋体"/>
                <w:color w:val="212121"/>
                <w:kern w:val="0"/>
                <w:szCs w:val="21"/>
              </w:rPr>
            </w:pPr>
            <w:r>
              <w:rPr>
                <w:rFonts w:hint="eastAsia" w:ascii="仿宋" w:hAnsi="仿宋" w:eastAsia="仿宋" w:cs="宋体"/>
                <w:color w:val="212121"/>
                <w:kern w:val="0"/>
                <w:szCs w:val="21"/>
              </w:rPr>
              <w:t>361天以上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仿宋" w:hAnsi="仿宋" w:eastAsia="仿宋" w:cs="宋体"/>
                <w:color w:val="212121"/>
                <w:kern w:val="0"/>
                <w:sz w:val="24"/>
                <w:szCs w:val="24"/>
              </w:rPr>
            </w:pPr>
            <w:r>
              <w:rPr>
                <w:rFonts w:hint="eastAsia" w:ascii="仿宋" w:hAnsi="仿宋" w:eastAsia="仿宋" w:cs="宋体"/>
                <w:color w:val="212121"/>
                <w:kern w:val="0"/>
                <w:sz w:val="24"/>
                <w:szCs w:val="24"/>
              </w:rPr>
              <w:t>信 用</w:t>
            </w:r>
          </w:p>
        </w:tc>
        <w:tc>
          <w:tcPr>
            <w:tcW w:w="113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仿宋" w:hAnsi="仿宋" w:eastAsia="仿宋" w:cs="宋体"/>
                <w:color w:val="212121"/>
                <w:kern w:val="0"/>
                <w:sz w:val="24"/>
                <w:szCs w:val="24"/>
              </w:rPr>
            </w:pPr>
            <w:r>
              <w:rPr>
                <w:rFonts w:hint="eastAsia" w:ascii="仿宋" w:hAnsi="仿宋" w:eastAsia="仿宋" w:cs="宋体"/>
                <w:color w:val="212121"/>
                <w:kern w:val="0"/>
                <w:sz w:val="24"/>
                <w:szCs w:val="24"/>
              </w:rPr>
              <w:t>正常</w:t>
            </w:r>
          </w:p>
        </w:tc>
        <w:tc>
          <w:tcPr>
            <w:tcW w:w="113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仿宋" w:hAnsi="仿宋" w:eastAsia="仿宋" w:cs="宋体"/>
                <w:color w:val="212121"/>
                <w:kern w:val="0"/>
                <w:sz w:val="24"/>
                <w:szCs w:val="24"/>
              </w:rPr>
            </w:pPr>
            <w:r>
              <w:rPr>
                <w:rFonts w:hint="eastAsia" w:ascii="仿宋" w:hAnsi="仿宋" w:eastAsia="仿宋" w:cs="宋体"/>
                <w:color w:val="212121"/>
                <w:kern w:val="0"/>
                <w:sz w:val="24"/>
                <w:szCs w:val="24"/>
              </w:rPr>
              <w:t>关注</w:t>
            </w:r>
          </w:p>
        </w:tc>
        <w:tc>
          <w:tcPr>
            <w:tcW w:w="127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仿宋" w:hAnsi="仿宋" w:eastAsia="仿宋" w:cs="宋体"/>
                <w:color w:val="212121"/>
                <w:kern w:val="0"/>
                <w:sz w:val="24"/>
                <w:szCs w:val="24"/>
              </w:rPr>
            </w:pPr>
            <w:r>
              <w:rPr>
                <w:rFonts w:hint="eastAsia" w:ascii="仿宋" w:hAnsi="仿宋" w:eastAsia="仿宋" w:cs="宋体"/>
                <w:color w:val="212121"/>
                <w:kern w:val="0"/>
                <w:sz w:val="24"/>
                <w:szCs w:val="24"/>
              </w:rPr>
              <w:t>次级</w:t>
            </w:r>
          </w:p>
        </w:tc>
        <w:tc>
          <w:tcPr>
            <w:tcW w:w="141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仿宋" w:hAnsi="仿宋" w:eastAsia="仿宋" w:cs="宋体"/>
                <w:color w:val="212121"/>
                <w:kern w:val="0"/>
                <w:sz w:val="24"/>
                <w:szCs w:val="24"/>
              </w:rPr>
            </w:pPr>
            <w:r>
              <w:rPr>
                <w:rFonts w:hint="eastAsia" w:ascii="仿宋" w:hAnsi="仿宋" w:eastAsia="仿宋" w:cs="宋体"/>
                <w:color w:val="212121"/>
                <w:kern w:val="0"/>
                <w:sz w:val="24"/>
                <w:szCs w:val="24"/>
              </w:rPr>
              <w:t>可疑</w:t>
            </w:r>
          </w:p>
        </w:tc>
        <w:tc>
          <w:tcPr>
            <w:tcW w:w="125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仿宋" w:hAnsi="仿宋" w:eastAsia="仿宋" w:cs="宋体"/>
                <w:color w:val="212121"/>
                <w:kern w:val="0"/>
                <w:sz w:val="24"/>
                <w:szCs w:val="24"/>
              </w:rPr>
            </w:pPr>
            <w:r>
              <w:rPr>
                <w:rFonts w:hint="eastAsia" w:ascii="仿宋" w:hAnsi="仿宋" w:eastAsia="仿宋" w:cs="宋体"/>
                <w:color w:val="212121"/>
                <w:kern w:val="0"/>
                <w:sz w:val="24"/>
                <w:szCs w:val="24"/>
              </w:rPr>
              <w:t>可疑</w:t>
            </w:r>
          </w:p>
        </w:tc>
        <w:tc>
          <w:tcPr>
            <w:tcW w:w="108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仿宋" w:hAnsi="仿宋" w:eastAsia="仿宋" w:cs="宋体"/>
                <w:color w:val="212121"/>
                <w:kern w:val="0"/>
                <w:sz w:val="24"/>
                <w:szCs w:val="24"/>
              </w:rPr>
            </w:pPr>
            <w:r>
              <w:rPr>
                <w:rFonts w:hint="eastAsia" w:ascii="仿宋" w:hAnsi="仿宋" w:eastAsia="仿宋" w:cs="宋体"/>
                <w:color w:val="212121"/>
                <w:kern w:val="0"/>
                <w:sz w:val="24"/>
                <w:szCs w:val="24"/>
              </w:rPr>
              <w:t>损失</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仿宋" w:hAnsi="仿宋" w:eastAsia="仿宋" w:cs="宋体"/>
                <w:color w:val="212121"/>
                <w:kern w:val="0"/>
                <w:sz w:val="24"/>
                <w:szCs w:val="24"/>
              </w:rPr>
            </w:pPr>
            <w:r>
              <w:rPr>
                <w:rFonts w:hint="eastAsia" w:ascii="仿宋" w:hAnsi="仿宋" w:eastAsia="仿宋" w:cs="宋体"/>
                <w:color w:val="212121"/>
                <w:kern w:val="0"/>
                <w:sz w:val="24"/>
                <w:szCs w:val="24"/>
              </w:rPr>
              <w:t>保 证</w:t>
            </w:r>
          </w:p>
        </w:tc>
        <w:tc>
          <w:tcPr>
            <w:tcW w:w="113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仿宋" w:hAnsi="仿宋" w:eastAsia="仿宋" w:cs="宋体"/>
                <w:color w:val="212121"/>
                <w:kern w:val="0"/>
                <w:sz w:val="24"/>
                <w:szCs w:val="24"/>
              </w:rPr>
            </w:pPr>
            <w:r>
              <w:rPr>
                <w:rFonts w:hint="eastAsia" w:ascii="仿宋" w:hAnsi="仿宋" w:eastAsia="仿宋" w:cs="宋体"/>
                <w:color w:val="212121"/>
                <w:kern w:val="0"/>
                <w:sz w:val="24"/>
                <w:szCs w:val="24"/>
              </w:rPr>
              <w:t>正常</w:t>
            </w:r>
          </w:p>
        </w:tc>
        <w:tc>
          <w:tcPr>
            <w:tcW w:w="113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仿宋" w:hAnsi="仿宋" w:eastAsia="仿宋" w:cs="宋体"/>
                <w:color w:val="212121"/>
                <w:kern w:val="0"/>
                <w:sz w:val="24"/>
                <w:szCs w:val="24"/>
              </w:rPr>
            </w:pPr>
            <w:r>
              <w:rPr>
                <w:rFonts w:hint="eastAsia" w:ascii="仿宋" w:hAnsi="仿宋" w:eastAsia="仿宋" w:cs="宋体"/>
                <w:color w:val="212121"/>
                <w:kern w:val="0"/>
                <w:sz w:val="24"/>
                <w:szCs w:val="24"/>
              </w:rPr>
              <w:t>正常</w:t>
            </w:r>
          </w:p>
        </w:tc>
        <w:tc>
          <w:tcPr>
            <w:tcW w:w="127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仿宋" w:hAnsi="仿宋" w:eastAsia="仿宋" w:cs="宋体"/>
                <w:color w:val="212121"/>
                <w:kern w:val="0"/>
                <w:sz w:val="24"/>
                <w:szCs w:val="24"/>
              </w:rPr>
            </w:pPr>
            <w:r>
              <w:rPr>
                <w:rFonts w:hint="eastAsia" w:ascii="仿宋" w:hAnsi="仿宋" w:eastAsia="仿宋" w:cs="宋体"/>
                <w:color w:val="212121"/>
                <w:kern w:val="0"/>
                <w:sz w:val="24"/>
                <w:szCs w:val="24"/>
              </w:rPr>
              <w:t>关注</w:t>
            </w:r>
          </w:p>
        </w:tc>
        <w:tc>
          <w:tcPr>
            <w:tcW w:w="141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仿宋" w:hAnsi="仿宋" w:eastAsia="仿宋" w:cs="宋体"/>
                <w:color w:val="212121"/>
                <w:kern w:val="0"/>
                <w:sz w:val="24"/>
                <w:szCs w:val="24"/>
              </w:rPr>
            </w:pPr>
            <w:r>
              <w:rPr>
                <w:rFonts w:hint="eastAsia" w:ascii="仿宋" w:hAnsi="仿宋" w:eastAsia="仿宋" w:cs="宋体"/>
                <w:color w:val="212121"/>
                <w:kern w:val="0"/>
                <w:sz w:val="24"/>
                <w:szCs w:val="24"/>
              </w:rPr>
              <w:t>次级</w:t>
            </w:r>
          </w:p>
        </w:tc>
        <w:tc>
          <w:tcPr>
            <w:tcW w:w="125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仿宋" w:hAnsi="仿宋" w:eastAsia="仿宋" w:cs="宋体"/>
                <w:color w:val="212121"/>
                <w:kern w:val="0"/>
                <w:sz w:val="24"/>
                <w:szCs w:val="24"/>
              </w:rPr>
            </w:pPr>
            <w:r>
              <w:rPr>
                <w:rFonts w:hint="eastAsia" w:ascii="仿宋" w:hAnsi="仿宋" w:eastAsia="仿宋" w:cs="宋体"/>
                <w:color w:val="212121"/>
                <w:kern w:val="0"/>
                <w:sz w:val="24"/>
                <w:szCs w:val="24"/>
              </w:rPr>
              <w:t>可疑</w:t>
            </w:r>
          </w:p>
        </w:tc>
        <w:tc>
          <w:tcPr>
            <w:tcW w:w="108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仿宋" w:hAnsi="仿宋" w:eastAsia="仿宋" w:cs="宋体"/>
                <w:color w:val="212121"/>
                <w:kern w:val="0"/>
                <w:sz w:val="24"/>
                <w:szCs w:val="24"/>
              </w:rPr>
            </w:pPr>
            <w:r>
              <w:rPr>
                <w:rFonts w:hint="eastAsia" w:ascii="仿宋" w:hAnsi="仿宋" w:eastAsia="仿宋" w:cs="宋体"/>
                <w:color w:val="212121"/>
                <w:kern w:val="0"/>
                <w:sz w:val="24"/>
                <w:szCs w:val="24"/>
              </w:rPr>
              <w:t>损失</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仿宋" w:hAnsi="仿宋" w:eastAsia="仿宋" w:cs="宋体"/>
                <w:color w:val="212121"/>
                <w:kern w:val="0"/>
                <w:sz w:val="24"/>
                <w:szCs w:val="24"/>
              </w:rPr>
            </w:pPr>
            <w:r>
              <w:rPr>
                <w:rFonts w:hint="eastAsia" w:ascii="仿宋" w:hAnsi="仿宋" w:eastAsia="仿宋" w:cs="宋体"/>
                <w:color w:val="212121"/>
                <w:kern w:val="0"/>
                <w:sz w:val="24"/>
                <w:szCs w:val="24"/>
              </w:rPr>
              <w:t>抵 押</w:t>
            </w:r>
          </w:p>
        </w:tc>
        <w:tc>
          <w:tcPr>
            <w:tcW w:w="113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仿宋" w:hAnsi="仿宋" w:eastAsia="仿宋" w:cs="宋体"/>
                <w:color w:val="212121"/>
                <w:kern w:val="0"/>
                <w:sz w:val="24"/>
                <w:szCs w:val="24"/>
              </w:rPr>
            </w:pPr>
            <w:r>
              <w:rPr>
                <w:rFonts w:hint="eastAsia" w:ascii="仿宋" w:hAnsi="仿宋" w:eastAsia="仿宋" w:cs="宋体"/>
                <w:color w:val="212121"/>
                <w:kern w:val="0"/>
                <w:sz w:val="24"/>
                <w:szCs w:val="24"/>
              </w:rPr>
              <w:t>正常</w:t>
            </w:r>
          </w:p>
        </w:tc>
        <w:tc>
          <w:tcPr>
            <w:tcW w:w="113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仿宋" w:hAnsi="仿宋" w:eastAsia="仿宋" w:cs="宋体"/>
                <w:color w:val="212121"/>
                <w:kern w:val="0"/>
                <w:sz w:val="24"/>
                <w:szCs w:val="24"/>
              </w:rPr>
            </w:pPr>
            <w:r>
              <w:rPr>
                <w:rFonts w:hint="eastAsia" w:ascii="仿宋" w:hAnsi="仿宋" w:eastAsia="仿宋" w:cs="宋体"/>
                <w:color w:val="212121"/>
                <w:kern w:val="0"/>
                <w:sz w:val="24"/>
                <w:szCs w:val="24"/>
              </w:rPr>
              <w:t>正常</w:t>
            </w:r>
          </w:p>
        </w:tc>
        <w:tc>
          <w:tcPr>
            <w:tcW w:w="127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仿宋" w:hAnsi="仿宋" w:eastAsia="仿宋" w:cs="宋体"/>
                <w:color w:val="212121"/>
                <w:kern w:val="0"/>
                <w:sz w:val="24"/>
                <w:szCs w:val="24"/>
              </w:rPr>
            </w:pPr>
            <w:r>
              <w:rPr>
                <w:rFonts w:hint="eastAsia" w:ascii="仿宋" w:hAnsi="仿宋" w:eastAsia="仿宋" w:cs="宋体"/>
                <w:color w:val="212121"/>
                <w:kern w:val="0"/>
                <w:sz w:val="24"/>
                <w:szCs w:val="24"/>
              </w:rPr>
              <w:t>关注</w:t>
            </w:r>
          </w:p>
        </w:tc>
        <w:tc>
          <w:tcPr>
            <w:tcW w:w="141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仿宋" w:hAnsi="仿宋" w:eastAsia="仿宋" w:cs="宋体"/>
                <w:color w:val="212121"/>
                <w:kern w:val="0"/>
                <w:sz w:val="24"/>
                <w:szCs w:val="24"/>
              </w:rPr>
            </w:pPr>
            <w:r>
              <w:rPr>
                <w:rFonts w:hint="eastAsia" w:ascii="仿宋" w:hAnsi="仿宋" w:eastAsia="仿宋" w:cs="宋体"/>
                <w:color w:val="212121"/>
                <w:kern w:val="0"/>
                <w:sz w:val="24"/>
                <w:szCs w:val="24"/>
              </w:rPr>
              <w:t>关注</w:t>
            </w:r>
          </w:p>
        </w:tc>
        <w:tc>
          <w:tcPr>
            <w:tcW w:w="125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仿宋" w:hAnsi="仿宋" w:eastAsia="仿宋" w:cs="宋体"/>
                <w:color w:val="212121"/>
                <w:kern w:val="0"/>
                <w:sz w:val="24"/>
                <w:szCs w:val="24"/>
              </w:rPr>
            </w:pPr>
            <w:r>
              <w:rPr>
                <w:rFonts w:hint="eastAsia" w:ascii="仿宋" w:hAnsi="仿宋" w:eastAsia="仿宋" w:cs="宋体"/>
                <w:color w:val="212121"/>
                <w:kern w:val="0"/>
                <w:sz w:val="24"/>
                <w:szCs w:val="24"/>
              </w:rPr>
              <w:t>次级</w:t>
            </w:r>
          </w:p>
        </w:tc>
        <w:tc>
          <w:tcPr>
            <w:tcW w:w="108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仿宋" w:hAnsi="仿宋" w:eastAsia="仿宋" w:cs="宋体"/>
                <w:color w:val="212121"/>
                <w:kern w:val="0"/>
                <w:sz w:val="24"/>
                <w:szCs w:val="24"/>
              </w:rPr>
            </w:pPr>
            <w:r>
              <w:rPr>
                <w:rFonts w:hint="eastAsia" w:ascii="仿宋" w:hAnsi="仿宋" w:eastAsia="仿宋" w:cs="宋体"/>
                <w:color w:val="212121"/>
                <w:kern w:val="0"/>
                <w:sz w:val="24"/>
                <w:szCs w:val="24"/>
              </w:rPr>
              <w:t>可疑</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仿宋" w:hAnsi="仿宋" w:eastAsia="仿宋" w:cs="宋体"/>
                <w:color w:val="212121"/>
                <w:kern w:val="0"/>
                <w:sz w:val="24"/>
                <w:szCs w:val="24"/>
              </w:rPr>
            </w:pPr>
            <w:r>
              <w:rPr>
                <w:rFonts w:hint="eastAsia" w:ascii="仿宋" w:hAnsi="仿宋" w:eastAsia="仿宋" w:cs="宋体"/>
                <w:color w:val="212121"/>
                <w:kern w:val="0"/>
                <w:sz w:val="24"/>
                <w:szCs w:val="24"/>
              </w:rPr>
              <w:t>质 押</w:t>
            </w:r>
          </w:p>
        </w:tc>
        <w:tc>
          <w:tcPr>
            <w:tcW w:w="113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仿宋" w:hAnsi="仿宋" w:eastAsia="仿宋" w:cs="宋体"/>
                <w:color w:val="212121"/>
                <w:kern w:val="0"/>
                <w:sz w:val="24"/>
                <w:szCs w:val="24"/>
              </w:rPr>
            </w:pPr>
            <w:r>
              <w:rPr>
                <w:rFonts w:hint="eastAsia" w:ascii="仿宋" w:hAnsi="仿宋" w:eastAsia="仿宋" w:cs="宋体"/>
                <w:color w:val="212121"/>
                <w:kern w:val="0"/>
                <w:sz w:val="24"/>
                <w:szCs w:val="24"/>
              </w:rPr>
              <w:t>正常</w:t>
            </w:r>
          </w:p>
        </w:tc>
        <w:tc>
          <w:tcPr>
            <w:tcW w:w="113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仿宋" w:hAnsi="仿宋" w:eastAsia="仿宋" w:cs="宋体"/>
                <w:color w:val="212121"/>
                <w:kern w:val="0"/>
                <w:sz w:val="24"/>
                <w:szCs w:val="24"/>
              </w:rPr>
            </w:pPr>
            <w:r>
              <w:rPr>
                <w:rFonts w:hint="eastAsia" w:ascii="仿宋" w:hAnsi="仿宋" w:eastAsia="仿宋" w:cs="宋体"/>
                <w:color w:val="212121"/>
                <w:kern w:val="0"/>
                <w:sz w:val="24"/>
                <w:szCs w:val="24"/>
              </w:rPr>
              <w:t>正常</w:t>
            </w:r>
          </w:p>
        </w:tc>
        <w:tc>
          <w:tcPr>
            <w:tcW w:w="127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仿宋" w:hAnsi="仿宋" w:eastAsia="仿宋" w:cs="宋体"/>
                <w:color w:val="212121"/>
                <w:kern w:val="0"/>
                <w:sz w:val="24"/>
                <w:szCs w:val="24"/>
              </w:rPr>
            </w:pPr>
            <w:r>
              <w:rPr>
                <w:rFonts w:hint="eastAsia" w:ascii="仿宋" w:hAnsi="仿宋" w:eastAsia="仿宋" w:cs="宋体"/>
                <w:color w:val="212121"/>
                <w:kern w:val="0"/>
                <w:sz w:val="24"/>
                <w:szCs w:val="24"/>
              </w:rPr>
              <w:t>正常</w:t>
            </w:r>
          </w:p>
        </w:tc>
        <w:tc>
          <w:tcPr>
            <w:tcW w:w="1418"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仿宋" w:hAnsi="仿宋" w:eastAsia="仿宋" w:cs="宋体"/>
                <w:color w:val="212121"/>
                <w:kern w:val="0"/>
                <w:sz w:val="24"/>
                <w:szCs w:val="24"/>
              </w:rPr>
            </w:pPr>
            <w:r>
              <w:rPr>
                <w:rFonts w:hint="eastAsia" w:ascii="仿宋" w:hAnsi="仿宋" w:eastAsia="仿宋" w:cs="宋体"/>
                <w:color w:val="212121"/>
                <w:kern w:val="0"/>
                <w:sz w:val="24"/>
                <w:szCs w:val="24"/>
              </w:rPr>
              <w:t>关注</w:t>
            </w:r>
          </w:p>
        </w:tc>
        <w:tc>
          <w:tcPr>
            <w:tcW w:w="125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仿宋" w:hAnsi="仿宋" w:eastAsia="仿宋" w:cs="宋体"/>
                <w:color w:val="212121"/>
                <w:kern w:val="0"/>
                <w:sz w:val="24"/>
                <w:szCs w:val="24"/>
              </w:rPr>
            </w:pPr>
            <w:r>
              <w:rPr>
                <w:rFonts w:hint="eastAsia" w:ascii="仿宋" w:hAnsi="仿宋" w:eastAsia="仿宋" w:cs="宋体"/>
                <w:color w:val="212121"/>
                <w:kern w:val="0"/>
                <w:sz w:val="24"/>
                <w:szCs w:val="24"/>
              </w:rPr>
              <w:t>次级</w:t>
            </w:r>
          </w:p>
        </w:tc>
        <w:tc>
          <w:tcPr>
            <w:tcW w:w="108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仿宋" w:hAnsi="仿宋" w:eastAsia="仿宋" w:cs="宋体"/>
                <w:color w:val="212121"/>
                <w:kern w:val="0"/>
                <w:sz w:val="24"/>
                <w:szCs w:val="24"/>
              </w:rPr>
            </w:pPr>
            <w:r>
              <w:rPr>
                <w:rFonts w:hint="eastAsia" w:ascii="仿宋" w:hAnsi="仿宋" w:eastAsia="仿宋" w:cs="宋体"/>
                <w:color w:val="212121"/>
                <w:kern w:val="0"/>
                <w:sz w:val="24"/>
                <w:szCs w:val="24"/>
              </w:rPr>
              <w:t>可疑</w:t>
            </w:r>
          </w:p>
        </w:tc>
      </w:tr>
    </w:tbl>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