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78" w:name="_Toc26248"/>
      <w:r>
        <w:rPr>
          <w:rFonts w:hint="eastAsia"/>
        </w:rPr>
        <w:t>6</w:t>
      </w:r>
      <w:r>
        <w:t>09--中国银监会办公厅、国土资源部办公厅</w:t>
      </w:r>
      <w:r>
        <w:br w:type="textWrapping"/>
      </w:r>
      <w:r>
        <w:t>关于扩大农村集体经营性建设用地使用权抵押贷款工作试点范围的通知</w:t>
      </w:r>
      <w:r>
        <w:br w:type="textWrapping"/>
      </w:r>
      <w:r>
        <w:rPr>
          <w:rFonts w:hint="eastAsia"/>
        </w:rPr>
        <w:t>（银监办发〔2016〕174号）</w:t>
      </w:r>
      <w:bookmarkEnd w:id="1978"/>
    </w:p>
    <w:p>
      <w:pPr>
        <w:adjustRightInd w:val="0"/>
        <w:snapToGrid w:val="0"/>
        <w:spacing w:line="312" w:lineRule="auto"/>
        <w:ind w:firstLine="420" w:firstLineChars="200"/>
        <w:rPr>
          <w:rFonts w:hint="eastAsia" w:ascii="仿宋" w:hAnsi="仿宋" w:eastAsia="仿宋"/>
        </w:rPr>
      </w:pPr>
      <w:r>
        <w:rPr>
          <w:rFonts w:ascii="仿宋" w:hAnsi="仿宋" w:eastAsia="仿宋"/>
        </w:rPr>
        <w:t>为进一步推动农村集体经营性建设用地入市改革工作，经中央全面深化改革领导小组批准，国土资源部决定将农村集体经营性建设用地入市试点地区由原有15个县（市、区）扩大为33个县（市、区）。为持续推进农村集体经营性建设用地使用权抵押贷款工作，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一、《农村集体经营性建设用地使用权抵押贷款管理暂行办法》（银监发〔2016〕26号，以下简称《暂行办法》）确定的15个试点县（市、区）扩大为33个试点县（市、区），试点名单附后。</w:t>
      </w:r>
    </w:p>
    <w:p>
      <w:pPr>
        <w:adjustRightInd w:val="0"/>
        <w:snapToGrid w:val="0"/>
        <w:spacing w:line="312" w:lineRule="auto"/>
        <w:ind w:firstLine="420" w:firstLineChars="200"/>
        <w:rPr>
          <w:rFonts w:hint="eastAsia" w:ascii="仿宋" w:hAnsi="仿宋" w:eastAsia="仿宋"/>
        </w:rPr>
      </w:pPr>
      <w:r>
        <w:rPr>
          <w:rFonts w:ascii="仿宋" w:hAnsi="仿宋" w:eastAsia="仿宋"/>
        </w:rPr>
        <w:t>二、试点地区银行业金融机构要按照《暂行办法》要求开展农村集体经营性建设用地使用权抵押贷款业务。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三、试点地区银行业监督管理机构应当会同国土资源行政主管部门进一步加强对试点地区农村集体经营性建设用地使用权抵押贷款的监管与评估工作。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试点地区银行业监督管理机构及国土资源行政主管部门要将农村集体经营性建设用地使用权抵押贷款工作情况按季度分别报送银监会和国土资源部。《暂行办法》执行中遇到的问题请及时向银监会和国土资源部报告。</w:t>
      </w:r>
    </w:p>
    <w:p>
      <w:pPr>
        <w:adjustRightInd w:val="0"/>
        <w:snapToGrid w:val="0"/>
        <w:spacing w:line="312" w:lineRule="auto"/>
        <w:ind w:firstLine="420" w:firstLineChars="200"/>
        <w:rPr>
          <w:rFonts w:hint="eastAsia" w:ascii="仿宋" w:hAnsi="仿宋" w:eastAsia="仿宋"/>
        </w:rPr>
      </w:pPr>
      <w:r>
        <w:rPr>
          <w:rFonts w:ascii="仿宋" w:hAnsi="仿宋" w:eastAsia="仿宋"/>
        </w:rPr>
        <w:t>附件：农村集体经营性建设用地使用权抵押贷款试点县（市、区）名单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国土资源部办公厅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2016年11月28日</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0" w:firstLineChars="200"/>
        <w:rPr>
          <w:rFonts w:hint="eastAsia" w:ascii="仿宋" w:hAnsi="仿宋" w:eastAsia="仿宋"/>
        </w:rPr>
      </w:pPr>
      <w:r>
        <w:rPr>
          <w:rFonts w:ascii="仿宋" w:hAnsi="仿宋" w:eastAsia="仿宋"/>
        </w:rPr>
        <w:t>农村集体经营性建设用地使用权抵押贷款试点县（市、区）名单</w:t>
      </w:r>
    </w:p>
    <w:p>
      <w:pPr>
        <w:adjustRightInd w:val="0"/>
        <w:snapToGrid w:val="0"/>
        <w:spacing w:line="312" w:lineRule="auto"/>
        <w:ind w:firstLine="420" w:firstLineChars="200"/>
        <w:rPr>
          <w:rFonts w:hint="eastAsia" w:ascii="仿宋" w:hAnsi="仿宋" w:eastAsia="仿宋"/>
        </w:rPr>
      </w:pPr>
    </w:p>
    <w:tbl>
      <w:tblPr>
        <w:tblStyle w:val="42"/>
        <w:tblW w:w="8290" w:type="dxa"/>
        <w:jc w:val="center"/>
        <w:tblCellSpacing w:w="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559"/>
        <w:gridCol w:w="2849"/>
        <w:gridCol w:w="388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序号</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省份</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试点县（市、区）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北京市</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大兴区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天津市</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蓟县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3</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河北省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保定市定州市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4</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山西省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晋城市泽州县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5</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内蒙古自治区</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呼和浩特市和林格尔县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6</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辽宁省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鞍山市海城市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7</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吉林省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长春市九台区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8</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黑龙江省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绥化市安达市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9</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上海市</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松江区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10</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江苏省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常州市武进区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11</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浙江省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金华市义乌市、湖州市德清县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12</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安徽省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六安市金寨县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13</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福建省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泉州市晋江市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14</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江西省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鹰潭市余江县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15</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山东省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德州市禹城市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16</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河南省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新乡市长垣县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17</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湖北省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襄阳市宜城市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18</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湖南省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长沙市浏阳市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19</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广东省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佛山市南海区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20</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广西壮族自治区</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玉林市北流市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21</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海南省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文昌市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22</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重庆市</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大足区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23</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四川省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成都市郫县、泸州市泸县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24</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贵州省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遵义市湄潭县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25</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云南省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大理州大理市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26</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西藏自治区</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拉萨市曲水县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27</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陕西省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西安市高陵区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28</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甘肃省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定西市陇西县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29</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青海省</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西宁市湟源县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30</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宁夏回族自治区</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石嘴山市平罗县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jc w:val="center"/>
        </w:trPr>
        <w:tc>
          <w:tcPr>
            <w:tcW w:w="1538"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31</w:t>
            </w:r>
          </w:p>
        </w:tc>
        <w:tc>
          <w:tcPr>
            <w:tcW w:w="2835"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新疆维吾尔自治区</w:t>
            </w:r>
          </w:p>
        </w:tc>
        <w:tc>
          <w:tcPr>
            <w:tcW w:w="3861" w:type="dxa"/>
            <w:tcBorders>
              <w:top w:val="outset" w:color="auto" w:sz="6" w:space="0"/>
              <w:left w:val="outset" w:color="auto" w:sz="6" w:space="0"/>
              <w:bottom w:val="outset" w:color="auto" w:sz="6" w:space="0"/>
              <w:right w:val="outset" w:color="auto" w:sz="6" w:space="0"/>
            </w:tcBorders>
            <w:shd w:val="clear" w:color="auto" w:fill="auto"/>
          </w:tcPr>
          <w:p>
            <w:pPr>
              <w:adjustRightInd w:val="0"/>
              <w:snapToGrid w:val="0"/>
              <w:rPr>
                <w:rFonts w:hint="eastAsia" w:ascii="仿宋" w:hAnsi="仿宋" w:eastAsia="仿宋"/>
              </w:rPr>
            </w:pPr>
            <w:r>
              <w:rPr>
                <w:rFonts w:hint="eastAsia" w:ascii="仿宋" w:hAnsi="仿宋" w:eastAsia="仿宋"/>
              </w:rPr>
              <w:t>伊犁州伊宁市</w:t>
            </w:r>
          </w:p>
        </w:tc>
      </w:tr>
    </w:tbl>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