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5" w:name="_Toc1509"/>
      <w:r>
        <w:t>616--中国银监会关于印发金融资产管理公司资本管理办法（试行）的通知</w:t>
      </w:r>
      <w:r>
        <w:br w:type="textWrapping"/>
      </w:r>
      <w:r>
        <w:t>（银监发</w:t>
      </w:r>
      <w:r>
        <w:rPr>
          <w:rFonts w:hint="eastAsia"/>
        </w:rPr>
        <w:t>〔2017〕</w:t>
      </w:r>
      <w:r>
        <w:t>56号）</w:t>
      </w:r>
      <w:bookmarkEnd w:id="1985"/>
    </w:p>
    <w:p>
      <w:pPr>
        <w:adjustRightInd w:val="0"/>
        <w:snapToGrid w:val="0"/>
        <w:spacing w:line="312" w:lineRule="auto"/>
        <w:rPr>
          <w:rFonts w:hint="eastAsia" w:ascii="仿宋" w:hAnsi="仿宋" w:eastAsia="仿宋"/>
        </w:rPr>
      </w:pPr>
      <w:r>
        <w:rPr>
          <w:rFonts w:ascii="仿宋" w:hAnsi="仿宋" w:eastAsia="仿宋"/>
        </w:rPr>
        <w:t>各金融资产管理公司：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现将金融资产管理公司资本管理办法（试行）印发给你们，请遵照执行。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2017年12月26日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金融资产管理公司资本管理办法（试行）</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为加强金融资产管理公司（以下简称资产公司）资本监管，维护资产公司稳健运行，根据《中华人民共和国银行业监督管理法》《金融资产管理公司条例》等法律法规，制定本办法。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本办法适用于资产公司及其附属机构组成的集团。</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本办法所称集团母公司是指资产公司总部及分支机构。</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本办法所称附属机构是指由集团母公司直接或间接持股的、按照本办法</w:t>
      </w:r>
      <w:r>
        <w:rPr>
          <w:rFonts w:ascii="仿宋" w:hAnsi="仿宋" w:eastAsia="仿宋"/>
          <w:bCs/>
        </w:rPr>
        <w:t>第三章第一节规定应当纳入集团资本监管范围的机构，包括附属法人机构以及特殊目的实体等附属经济组织。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集团及集团母公司应当确保持有的资本能够抵御所面临的风险，包括集团风险、个体风险和系统性风险。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集团及集团母公司应当持续满足本办法规定的资本充足性监管要求和监管指标。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本办法所称资本充足率，是指集团母公司持有的符合本办法规定的资本与风险加权资产之间的比率。</w:t>
      </w:r>
    </w:p>
    <w:p>
      <w:pPr>
        <w:adjustRightInd w:val="0"/>
        <w:snapToGrid w:val="0"/>
        <w:spacing w:line="312" w:lineRule="auto"/>
        <w:ind w:firstLine="420" w:firstLineChars="200"/>
        <w:rPr>
          <w:rFonts w:hint="eastAsia" w:ascii="仿宋" w:hAnsi="仿宋" w:eastAsia="仿宋"/>
        </w:rPr>
      </w:pPr>
      <w:r>
        <w:rPr>
          <w:rFonts w:ascii="仿宋" w:hAnsi="仿宋" w:eastAsia="仿宋"/>
        </w:rPr>
        <w:t>一级资本充足率，是指集团母公司持有的符合本办法规定的一级资本与风险加权资产之间的比率。</w:t>
      </w:r>
    </w:p>
    <w:p>
      <w:pPr>
        <w:adjustRightInd w:val="0"/>
        <w:snapToGrid w:val="0"/>
        <w:spacing w:line="312" w:lineRule="auto"/>
        <w:ind w:firstLine="420" w:firstLineChars="200"/>
        <w:rPr>
          <w:rFonts w:hint="eastAsia" w:ascii="仿宋" w:hAnsi="仿宋" w:eastAsia="仿宋"/>
        </w:rPr>
      </w:pPr>
      <w:r>
        <w:rPr>
          <w:rFonts w:ascii="仿宋" w:hAnsi="仿宋" w:eastAsia="仿宋"/>
        </w:rPr>
        <w:t>核心一级资本充足率，是指集团母公司持有的符合本办法规定的核心一级资本与风险加权资产之间的比率。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本办法所称集团超额资本，是指集团持有的符合本办法规定的合格资本净额超出本办法规定的集团最低资本要求之上的部分。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本办法所称资本净额，是指从集团母公司及附属机构持有的符合本办法规定的各级资本中对应扣除扣减项（调整项）后的资本余额。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除上述集团超额资本和资本充足率监管要求外，集团及集团母公司还应当满足杠杆率监管要求。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本办法所称杠杆率，是指集团母公司持有的、符合本办法规定的一级资本净额与调整后的表内外资产余额的比率。</w:t>
      </w:r>
    </w:p>
    <w:p>
      <w:pPr>
        <w:adjustRightInd w:val="0"/>
        <w:snapToGrid w:val="0"/>
        <w:spacing w:line="312" w:lineRule="auto"/>
        <w:ind w:firstLine="420" w:firstLineChars="200"/>
        <w:rPr>
          <w:rFonts w:hint="eastAsia" w:ascii="仿宋" w:hAnsi="仿宋" w:eastAsia="仿宋"/>
        </w:rPr>
      </w:pPr>
      <w:r>
        <w:rPr>
          <w:rFonts w:ascii="仿宋" w:hAnsi="仿宋" w:eastAsia="仿宋"/>
        </w:rPr>
        <w:t>集团财务杠杆率，是指集团合并净资产与符合本办法规定的、经调整后的合并表内外资产的比率。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集团及集团母公司资本充足性相关监管指标的计算应当建立在充分计提资产减值准备的基础之上。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集团母公司应当参照国务院银行业监督管理机构关于商业银行资本监管的相关规定，建立全面风险管理架构和内部资本充足性管理及评估程序。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集团母公司应当按照本办法披露资本充足性信息。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国务院银行业监督管理机构依照本办法对集团及集团母公司资本充足性、杠杆率、资本管理等情况进行日常监管和现场检查，可以视情况采取相应的监管措施。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国务院银行业监督管理机构在国务院金融稳定发展委员会的领导下，加强与财政部、人民银行、国务院证券监督管理机构、国务院保险监督管理机构等主管部门和监管机构的监管协调和监管合作，最大限度地消除监管空白和减少监管套利。</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集团母公司资本监管要求</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第一节　资本充足率计算及监管要求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集团母公司应当按照以下公式计算资本充足率：</w:t>
      </w:r>
    </w:p>
    <w:p>
      <w:pPr>
        <w:adjustRightInd w:val="0"/>
        <w:snapToGrid w:val="0"/>
        <w:spacing w:line="312" w:lineRule="auto"/>
        <w:ind w:firstLine="420" w:firstLineChars="200"/>
        <w:rPr>
          <w:rFonts w:hint="eastAsia" w:ascii="仿宋" w:hAnsi="仿宋" w:eastAsia="仿宋"/>
        </w:rPr>
      </w:pPr>
      <w:r>
        <w:rPr>
          <w:rFonts w:ascii="仿宋" w:hAnsi="仿宋" w:eastAsia="仿宋"/>
        </w:rPr>
        <w:drawing>
          <wp:inline distT="0" distB="0" distL="0" distR="0">
            <wp:extent cx="5076825" cy="1895475"/>
            <wp:effectExtent l="0" t="0" r="9525" b="9525"/>
            <wp:docPr id="22" name="图片 2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文字&#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076825" cy="1895475"/>
                    </a:xfrm>
                    <a:prstGeom prst="rect">
                      <a:avLst/>
                    </a:prstGeom>
                    <a:noFill/>
                    <a:ln>
                      <a:noFill/>
                    </a:ln>
                  </pic:spPr>
                </pic:pic>
              </a:graphicData>
            </a:graphic>
          </wp:inline>
        </w:drawing>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第十五条</w:t>
      </w:r>
      <w:r>
        <w:rPr>
          <w:rFonts w:ascii="仿宋" w:hAnsi="仿宋" w:eastAsia="仿宋"/>
        </w:rPr>
        <w:t>　集团母公司总资本包括核心一级资本、其他一级资本和二级资本。集团母公司应当按照本章</w:t>
      </w:r>
      <w:r>
        <w:rPr>
          <w:rFonts w:ascii="仿宋" w:hAnsi="仿宋" w:eastAsia="仿宋"/>
          <w:b/>
        </w:rPr>
        <w:t>第二节的规定计算各级资本和扣减项。</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第十六条</w:t>
      </w:r>
      <w:r>
        <w:rPr>
          <w:rFonts w:ascii="仿宋" w:hAnsi="仿宋" w:eastAsia="仿宋"/>
        </w:rPr>
        <w:t>　集团母公司风险加权资产包括信用风险加权资产、市场风险加权资产和操作风险加权资产。集团母公司应当按照本章</w:t>
      </w:r>
      <w:r>
        <w:rPr>
          <w:rFonts w:ascii="仿宋" w:hAnsi="仿宋" w:eastAsia="仿宋"/>
          <w:b/>
        </w:rPr>
        <w:t>第三节的规定分别计量信用风险加权资产、市场风险加权资产和操作风险加权资产。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集团母公司各级资本充足率不得低于如下最低要求：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（一）核心一级资本充足率不得低于9%。</w:t>
      </w:r>
    </w:p>
    <w:p>
      <w:pPr>
        <w:adjustRightInd w:val="0"/>
        <w:snapToGrid w:val="0"/>
        <w:spacing w:line="312" w:lineRule="auto"/>
        <w:ind w:firstLine="420" w:firstLineChars="200"/>
        <w:rPr>
          <w:rFonts w:hint="eastAsia" w:ascii="仿宋" w:hAnsi="仿宋" w:eastAsia="仿宋"/>
        </w:rPr>
      </w:pPr>
      <w:r>
        <w:rPr>
          <w:rFonts w:ascii="仿宋" w:hAnsi="仿宋" w:eastAsia="仿宋"/>
        </w:rPr>
        <w:t>（二）一级资本充足率不得低于10%。</w:t>
      </w:r>
    </w:p>
    <w:p>
      <w:pPr>
        <w:adjustRightInd w:val="0"/>
        <w:snapToGrid w:val="0"/>
        <w:spacing w:line="312" w:lineRule="auto"/>
        <w:ind w:firstLine="420" w:firstLineChars="200"/>
        <w:rPr>
          <w:rFonts w:hint="eastAsia" w:ascii="仿宋" w:hAnsi="仿宋" w:eastAsia="仿宋"/>
        </w:rPr>
      </w:pPr>
      <w:r>
        <w:rPr>
          <w:rFonts w:ascii="仿宋" w:hAnsi="仿宋" w:eastAsia="仿宋"/>
        </w:rPr>
        <w:t>（三）资本充足率不得低于12.5%。</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第二节　资本定义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核心一级资本包括：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（一）实收资本或普通股。</w:t>
      </w:r>
    </w:p>
    <w:p>
      <w:pPr>
        <w:adjustRightInd w:val="0"/>
        <w:snapToGrid w:val="0"/>
        <w:spacing w:line="312" w:lineRule="auto"/>
        <w:ind w:firstLine="420" w:firstLineChars="200"/>
        <w:rPr>
          <w:rFonts w:hint="eastAsia" w:ascii="仿宋" w:hAnsi="仿宋" w:eastAsia="仿宋"/>
        </w:rPr>
      </w:pPr>
      <w:r>
        <w:rPr>
          <w:rFonts w:ascii="仿宋" w:hAnsi="仿宋" w:eastAsia="仿宋"/>
        </w:rPr>
        <w:t>（二）资本公积。</w:t>
      </w:r>
    </w:p>
    <w:p>
      <w:pPr>
        <w:adjustRightInd w:val="0"/>
        <w:snapToGrid w:val="0"/>
        <w:spacing w:line="312" w:lineRule="auto"/>
        <w:ind w:firstLine="420" w:firstLineChars="200"/>
        <w:rPr>
          <w:rFonts w:hint="eastAsia" w:ascii="仿宋" w:hAnsi="仿宋" w:eastAsia="仿宋"/>
        </w:rPr>
      </w:pPr>
      <w:r>
        <w:rPr>
          <w:rFonts w:ascii="仿宋" w:hAnsi="仿宋" w:eastAsia="仿宋"/>
        </w:rPr>
        <w:t>（三）盈余公积。</w:t>
      </w:r>
    </w:p>
    <w:p>
      <w:pPr>
        <w:adjustRightInd w:val="0"/>
        <w:snapToGrid w:val="0"/>
        <w:spacing w:line="312" w:lineRule="auto"/>
        <w:ind w:firstLine="420" w:firstLineChars="200"/>
        <w:rPr>
          <w:rFonts w:hint="eastAsia" w:ascii="仿宋" w:hAnsi="仿宋" w:eastAsia="仿宋"/>
        </w:rPr>
      </w:pPr>
      <w:r>
        <w:rPr>
          <w:rFonts w:ascii="仿宋" w:hAnsi="仿宋" w:eastAsia="仿宋"/>
        </w:rPr>
        <w:t>（四）一般风险准备。</w:t>
      </w:r>
    </w:p>
    <w:p>
      <w:pPr>
        <w:adjustRightInd w:val="0"/>
        <w:snapToGrid w:val="0"/>
        <w:spacing w:line="312" w:lineRule="auto"/>
        <w:ind w:firstLine="420" w:firstLineChars="200"/>
        <w:rPr>
          <w:rFonts w:hint="eastAsia" w:ascii="仿宋" w:hAnsi="仿宋" w:eastAsia="仿宋"/>
        </w:rPr>
      </w:pPr>
      <w:r>
        <w:rPr>
          <w:rFonts w:ascii="仿宋" w:hAnsi="仿宋" w:eastAsia="仿宋"/>
        </w:rPr>
        <w:t>（五）未分配利润。</w:t>
      </w:r>
    </w:p>
    <w:p>
      <w:pPr>
        <w:adjustRightInd w:val="0"/>
        <w:snapToGrid w:val="0"/>
        <w:spacing w:line="312" w:lineRule="auto"/>
        <w:ind w:firstLine="420" w:firstLineChars="200"/>
        <w:rPr>
          <w:rFonts w:hint="eastAsia" w:ascii="仿宋" w:hAnsi="仿宋" w:eastAsia="仿宋"/>
        </w:rPr>
      </w:pPr>
      <w:r>
        <w:rPr>
          <w:rFonts w:ascii="仿宋" w:hAnsi="仿宋" w:eastAsia="仿宋"/>
        </w:rPr>
        <w:t>（六）其他综合收益。</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（七）其他可计入部分。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其他一级资本包括：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（一）其他一级资本工具。</w:t>
      </w:r>
    </w:p>
    <w:p>
      <w:pPr>
        <w:adjustRightInd w:val="0"/>
        <w:snapToGrid w:val="0"/>
        <w:spacing w:line="312" w:lineRule="auto"/>
        <w:ind w:firstLine="420" w:firstLineChars="200"/>
        <w:rPr>
          <w:rFonts w:hint="eastAsia" w:ascii="仿宋" w:hAnsi="仿宋" w:eastAsia="仿宋"/>
        </w:rPr>
      </w:pPr>
      <w:r>
        <w:rPr>
          <w:rFonts w:ascii="仿宋" w:hAnsi="仿宋" w:eastAsia="仿宋"/>
        </w:rPr>
        <w:t>（二）其他一级资本工具溢价。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二级资本包括：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（一）二级资本工具。</w:t>
      </w:r>
    </w:p>
    <w:p>
      <w:pPr>
        <w:adjustRightInd w:val="0"/>
        <w:snapToGrid w:val="0"/>
        <w:spacing w:line="312" w:lineRule="auto"/>
        <w:ind w:firstLine="420" w:firstLineChars="200"/>
        <w:rPr>
          <w:rFonts w:hint="eastAsia" w:ascii="仿宋" w:hAnsi="仿宋" w:eastAsia="仿宋"/>
        </w:rPr>
      </w:pPr>
      <w:r>
        <w:rPr>
          <w:rFonts w:ascii="仿宋" w:hAnsi="仿宋" w:eastAsia="仿宋"/>
        </w:rPr>
        <w:t>（二）二级资本工具溢价。</w:t>
      </w:r>
    </w:p>
    <w:p>
      <w:pPr>
        <w:adjustRightInd w:val="0"/>
        <w:snapToGrid w:val="0"/>
        <w:spacing w:line="312" w:lineRule="auto"/>
        <w:ind w:firstLine="420" w:firstLineChars="200"/>
        <w:rPr>
          <w:rFonts w:hint="eastAsia" w:ascii="仿宋" w:hAnsi="仿宋" w:eastAsia="仿宋"/>
        </w:rPr>
      </w:pPr>
      <w:r>
        <w:rPr>
          <w:rFonts w:ascii="仿宋" w:hAnsi="仿宋" w:eastAsia="仿宋"/>
        </w:rPr>
        <w:t>（三）超额信用风险类资产减值准备。</w:t>
      </w:r>
    </w:p>
    <w:p>
      <w:pPr>
        <w:adjustRightInd w:val="0"/>
        <w:snapToGrid w:val="0"/>
        <w:spacing w:line="312" w:lineRule="auto"/>
        <w:ind w:firstLine="420" w:firstLineChars="200"/>
        <w:rPr>
          <w:rFonts w:hint="eastAsia" w:ascii="仿宋" w:hAnsi="仿宋" w:eastAsia="仿宋"/>
        </w:rPr>
      </w:pPr>
      <w:r>
        <w:rPr>
          <w:rFonts w:ascii="仿宋" w:hAnsi="仿宋" w:eastAsia="仿宋"/>
        </w:rPr>
        <w:t>1.集团母公司采用权重法计量信用风险加权资产的，超额信用风险类资产减值准备可计入二级资本，但不得超过信用风险加权资产的1.25%。</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超额信用风险类资产减值准备是指集团母公司实际计提的信用风险类资产减值准备超过最低要求的部分。信用风险类资产减值准备最低要求是指100%拨备覆盖率对应的信用风险类资产减值准备和应计提的信用风险类资产减值准备两者中的较大者。集团母公司信用风险类资产减值准备的计提标准，由国务院银行业监督管理机构另行制定。</w:t>
      </w:r>
    </w:p>
    <w:p>
      <w:pPr>
        <w:adjustRightInd w:val="0"/>
        <w:snapToGrid w:val="0"/>
        <w:spacing w:line="312" w:lineRule="auto"/>
        <w:ind w:firstLine="420" w:firstLineChars="200"/>
        <w:rPr>
          <w:rFonts w:hint="eastAsia" w:ascii="仿宋" w:hAnsi="仿宋" w:eastAsia="仿宋"/>
        </w:rPr>
      </w:pPr>
      <w:r>
        <w:rPr>
          <w:rFonts w:ascii="仿宋" w:hAnsi="仿宋" w:eastAsia="仿宋"/>
        </w:rPr>
        <w:t>2.集团母公司采用内部评级法计量信用风险加权资产的，超额信用风险类资产减值准备可计入二级资本，但不得超过信用风险加权资产的0.6%。</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前款所称超额信用风险类资产减值准备是指集团母公司实际计提的信用风险类资产减值准备超过预期损失的部分。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计算资本充足率时，集团母公司应当从核心一级资本中全额扣除以下项目：</w:t>
      </w:r>
    </w:p>
    <w:p>
      <w:pPr>
        <w:adjustRightInd w:val="0"/>
        <w:snapToGrid w:val="0"/>
        <w:spacing w:line="312" w:lineRule="auto"/>
        <w:ind w:firstLine="420" w:firstLineChars="200"/>
        <w:rPr>
          <w:rFonts w:hint="eastAsia" w:ascii="仿宋" w:hAnsi="仿宋" w:eastAsia="仿宋"/>
        </w:rPr>
      </w:pPr>
      <w:r>
        <w:rPr>
          <w:rFonts w:ascii="仿宋" w:hAnsi="仿宋" w:eastAsia="仿宋"/>
        </w:rPr>
        <w:t>（一）商誉。</w:t>
      </w:r>
    </w:p>
    <w:p>
      <w:pPr>
        <w:adjustRightInd w:val="0"/>
        <w:snapToGrid w:val="0"/>
        <w:spacing w:line="312" w:lineRule="auto"/>
        <w:ind w:firstLine="420" w:firstLineChars="200"/>
        <w:rPr>
          <w:rFonts w:hint="eastAsia" w:ascii="仿宋" w:hAnsi="仿宋" w:eastAsia="仿宋"/>
        </w:rPr>
      </w:pPr>
      <w:r>
        <w:rPr>
          <w:rFonts w:ascii="仿宋" w:hAnsi="仿宋" w:eastAsia="仿宋"/>
        </w:rPr>
        <w:t>（二）其他无形资产（土地使用权除外）。</w:t>
      </w:r>
    </w:p>
    <w:p>
      <w:pPr>
        <w:adjustRightInd w:val="0"/>
        <w:snapToGrid w:val="0"/>
        <w:spacing w:line="312" w:lineRule="auto"/>
        <w:ind w:firstLine="420" w:firstLineChars="200"/>
        <w:rPr>
          <w:rFonts w:hint="eastAsia" w:ascii="仿宋" w:hAnsi="仿宋" w:eastAsia="仿宋"/>
        </w:rPr>
      </w:pPr>
      <w:r>
        <w:rPr>
          <w:rFonts w:ascii="仿宋" w:hAnsi="仿宋" w:eastAsia="仿宋"/>
        </w:rPr>
        <w:t>（三）由经营亏损引起的净递延税资产。</w:t>
      </w:r>
    </w:p>
    <w:p>
      <w:pPr>
        <w:adjustRightInd w:val="0"/>
        <w:snapToGrid w:val="0"/>
        <w:spacing w:line="312" w:lineRule="auto"/>
        <w:ind w:firstLine="420" w:firstLineChars="200"/>
        <w:rPr>
          <w:rFonts w:hint="eastAsia" w:ascii="仿宋" w:hAnsi="仿宋" w:eastAsia="仿宋"/>
        </w:rPr>
      </w:pPr>
      <w:r>
        <w:rPr>
          <w:rFonts w:ascii="仿宋" w:hAnsi="仿宋" w:eastAsia="仿宋"/>
        </w:rPr>
        <w:t>（四）信用风险类资产减值准备缺口。</w:t>
      </w:r>
    </w:p>
    <w:p>
      <w:pPr>
        <w:adjustRightInd w:val="0"/>
        <w:snapToGrid w:val="0"/>
        <w:spacing w:line="312" w:lineRule="auto"/>
        <w:ind w:firstLine="420" w:firstLineChars="200"/>
        <w:rPr>
          <w:rFonts w:hint="eastAsia" w:ascii="仿宋" w:hAnsi="仿宋" w:eastAsia="仿宋"/>
        </w:rPr>
      </w:pPr>
      <w:r>
        <w:rPr>
          <w:rFonts w:ascii="仿宋" w:hAnsi="仿宋" w:eastAsia="仿宋"/>
        </w:rPr>
        <w:t>1.集团母公司采用权重法计量信用风险加权资产的，信用风险类资产减值准备缺口是指实际计提的信用风险类资产减值准备低于信用风险类资产减值准备最低要求的部分。</w:t>
      </w:r>
    </w:p>
    <w:p>
      <w:pPr>
        <w:adjustRightInd w:val="0"/>
        <w:snapToGrid w:val="0"/>
        <w:spacing w:line="312" w:lineRule="auto"/>
        <w:ind w:firstLine="420" w:firstLineChars="200"/>
        <w:rPr>
          <w:rFonts w:hint="eastAsia" w:ascii="仿宋" w:hAnsi="仿宋" w:eastAsia="仿宋"/>
        </w:rPr>
      </w:pPr>
      <w:r>
        <w:rPr>
          <w:rFonts w:ascii="仿宋" w:hAnsi="仿宋" w:eastAsia="仿宋"/>
        </w:rPr>
        <w:t>2.集团母公司采用内部评级法计量信用风险加权资产的，信用风险类资产减值准备缺口是指实际计提的信用风险类资产减值准备低于预期损失的部分。</w:t>
      </w:r>
    </w:p>
    <w:p>
      <w:pPr>
        <w:adjustRightInd w:val="0"/>
        <w:snapToGrid w:val="0"/>
        <w:spacing w:line="312" w:lineRule="auto"/>
        <w:ind w:firstLine="420" w:firstLineChars="200"/>
        <w:rPr>
          <w:rFonts w:hint="eastAsia" w:ascii="仿宋" w:hAnsi="仿宋" w:eastAsia="仿宋"/>
        </w:rPr>
      </w:pPr>
      <w:r>
        <w:rPr>
          <w:rFonts w:ascii="仿宋" w:hAnsi="仿宋" w:eastAsia="仿宋"/>
        </w:rPr>
        <w:t>（五）资产证券化销售利得。</w:t>
      </w:r>
    </w:p>
    <w:p>
      <w:pPr>
        <w:adjustRightInd w:val="0"/>
        <w:snapToGrid w:val="0"/>
        <w:spacing w:line="312" w:lineRule="auto"/>
        <w:ind w:firstLine="420" w:firstLineChars="200"/>
        <w:rPr>
          <w:rFonts w:hint="eastAsia" w:ascii="仿宋" w:hAnsi="仿宋" w:eastAsia="仿宋"/>
        </w:rPr>
      </w:pPr>
      <w:r>
        <w:rPr>
          <w:rFonts w:ascii="仿宋" w:hAnsi="仿宋" w:eastAsia="仿宋"/>
        </w:rPr>
        <w:t>（六）固定收益类的养老金资产净额。</w:t>
      </w:r>
    </w:p>
    <w:p>
      <w:pPr>
        <w:adjustRightInd w:val="0"/>
        <w:snapToGrid w:val="0"/>
        <w:spacing w:line="312" w:lineRule="auto"/>
        <w:ind w:firstLine="420" w:firstLineChars="200"/>
        <w:rPr>
          <w:rFonts w:hint="eastAsia" w:ascii="仿宋" w:hAnsi="仿宋" w:eastAsia="仿宋"/>
        </w:rPr>
      </w:pPr>
      <w:r>
        <w:rPr>
          <w:rFonts w:ascii="仿宋" w:hAnsi="仿宋" w:eastAsia="仿宋"/>
        </w:rPr>
        <w:t>（七）直接或间接持有的本公司股票。</w:t>
      </w:r>
    </w:p>
    <w:p>
      <w:pPr>
        <w:adjustRightInd w:val="0"/>
        <w:snapToGrid w:val="0"/>
        <w:spacing w:line="312" w:lineRule="auto"/>
        <w:ind w:firstLine="420" w:firstLineChars="200"/>
        <w:rPr>
          <w:rFonts w:hint="eastAsia" w:ascii="仿宋" w:hAnsi="仿宋" w:eastAsia="仿宋"/>
        </w:rPr>
      </w:pPr>
      <w:r>
        <w:rPr>
          <w:rFonts w:ascii="仿宋" w:hAnsi="仿宋" w:eastAsia="仿宋"/>
        </w:rPr>
        <w:t>（八）对资产负债表中未按公允价值计量的项目进行套期形成的现金流储备，若为正值，应予以扣除；若为负值，应予以加回。</w:t>
      </w:r>
    </w:p>
    <w:p>
      <w:pPr>
        <w:adjustRightInd w:val="0"/>
        <w:snapToGrid w:val="0"/>
        <w:spacing w:line="312" w:lineRule="auto"/>
        <w:ind w:firstLine="420" w:firstLineChars="200"/>
        <w:rPr>
          <w:rFonts w:hint="eastAsia" w:ascii="仿宋" w:hAnsi="仿宋" w:eastAsia="仿宋"/>
        </w:rPr>
      </w:pPr>
      <w:r>
        <w:rPr>
          <w:rFonts w:ascii="仿宋" w:hAnsi="仿宋" w:eastAsia="仿宋"/>
        </w:rPr>
        <w:t>（九）自身信用风险变化导致负债公允价值变化带来的未实现损益。</w:t>
      </w:r>
    </w:p>
    <w:p>
      <w:pPr>
        <w:adjustRightInd w:val="0"/>
        <w:snapToGrid w:val="0"/>
        <w:spacing w:line="312" w:lineRule="auto"/>
        <w:ind w:firstLine="420" w:firstLineChars="200"/>
        <w:rPr>
          <w:rFonts w:hint="eastAsia" w:ascii="仿宋" w:hAnsi="仿宋" w:eastAsia="仿宋"/>
        </w:rPr>
      </w:pPr>
      <w:r>
        <w:rPr>
          <w:rFonts w:ascii="仿宋" w:hAnsi="仿宋" w:eastAsia="仿宋"/>
        </w:rPr>
        <w:t>（十）对纳入集团资本监管范围的附属机构的核心一级资本投资。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集团母公司与其他金融机构之间通过协议相互持有的各级资本工具，或国务院银行业监督管理机构认定为虚增资本的各级资本投资，应从相应的监管资本中对应扣除。</w:t>
      </w:r>
    </w:p>
    <w:p>
      <w:pPr>
        <w:adjustRightInd w:val="0"/>
        <w:snapToGrid w:val="0"/>
        <w:spacing w:line="312" w:lineRule="auto"/>
        <w:ind w:firstLine="420" w:firstLineChars="200"/>
        <w:rPr>
          <w:rFonts w:hint="eastAsia" w:ascii="仿宋" w:hAnsi="仿宋" w:eastAsia="仿宋"/>
        </w:rPr>
      </w:pPr>
      <w:r>
        <w:rPr>
          <w:rFonts w:ascii="仿宋" w:hAnsi="仿宋" w:eastAsia="仿宋"/>
        </w:rPr>
        <w:t>集团母公司直接或间接持有本公司及附属机构发行的其他一级资本工具和二级资本工具，应从相应的监管资本中对应扣除。</w:t>
      </w:r>
    </w:p>
    <w:p>
      <w:pPr>
        <w:adjustRightInd w:val="0"/>
        <w:snapToGrid w:val="0"/>
        <w:spacing w:line="312" w:lineRule="auto"/>
        <w:ind w:firstLine="420" w:firstLineChars="200"/>
        <w:rPr>
          <w:rFonts w:hint="eastAsia" w:ascii="仿宋" w:hAnsi="仿宋" w:eastAsia="仿宋"/>
        </w:rPr>
      </w:pPr>
      <w:r>
        <w:rPr>
          <w:rFonts w:ascii="仿宋" w:hAnsi="仿宋" w:eastAsia="仿宋"/>
        </w:rPr>
        <w:t>对应扣除是指从集团母公司自身相应层级资本中一次性全额扣除。集团母公司某级资本净额小于应扣除数额的，缺口部分应从更高一级的资本净额中扣除。</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集团母公司对未纳入集团资本监管范围的金融机构的小额少数资本投资，合计超出本公司核心一级资本净额30%的部分，应从各级监管资本中对应扣除。</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小额少数资本投资是指集团母公司对金融机构各级资本投资（包括直接和间接投资）占该被投资金融机构实收资本（普通股加普通股溢价）10%（不含）以下，且根据本办法</w:t>
      </w:r>
      <w:r>
        <w:rPr>
          <w:rFonts w:ascii="仿宋" w:hAnsi="仿宋" w:eastAsia="仿宋"/>
          <w:b/>
        </w:rPr>
        <w:t>第三章第一节规定可不纳入集团资本监管范围的资本投资。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集团母公司对未纳入集团资本监管范围的金融机构的大额少数资本投资中，核心一级资本投资合计超出本公司核心一级资本净额30%的部分应从本公司核心一级资本中扣除；其他一级资本投资和二级资本投资应从相应层级资本中全额扣除。</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大额少数资本投资是指集团母公司对金融机构各级资本投资（包括直接和间接投资）占该被投资金融机构实收资本（普通股加普通股溢价）10%（含）以上，且根据本办法</w:t>
      </w:r>
      <w:r>
        <w:rPr>
          <w:rFonts w:ascii="仿宋" w:hAnsi="仿宋" w:eastAsia="仿宋"/>
          <w:b/>
        </w:rPr>
        <w:t>第三章第一节规定可不纳入集团资本监管范围的资本投资。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除本办法</w:t>
      </w:r>
      <w:r>
        <w:rPr>
          <w:rFonts w:ascii="仿宋" w:hAnsi="仿宋" w:eastAsia="仿宋"/>
          <w:b/>
        </w:rPr>
        <w:t>第二十一条</w:t>
      </w:r>
      <w:r>
        <w:rPr>
          <w:rFonts w:ascii="仿宋" w:hAnsi="仿宋" w:eastAsia="仿宋"/>
        </w:rPr>
        <w:t>规定的递延税资产外，其他依赖于本公司未来盈利的净递延税资产，超出本公司核心一级资本净额10%的部分应从核心一级资本中扣除。</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根据本办法</w:t>
      </w:r>
      <w:r>
        <w:rPr>
          <w:rFonts w:ascii="仿宋" w:hAnsi="仿宋" w:eastAsia="仿宋"/>
          <w:b/>
        </w:rPr>
        <w:t>第二十四条</w:t>
      </w:r>
      <w:r>
        <w:rPr>
          <w:rFonts w:ascii="仿宋" w:hAnsi="仿宋" w:eastAsia="仿宋"/>
        </w:rPr>
        <w:t>、</w:t>
      </w:r>
      <w:r>
        <w:rPr>
          <w:rFonts w:ascii="仿宋" w:hAnsi="仿宋" w:eastAsia="仿宋"/>
          <w:b/>
        </w:rPr>
        <w:t>第二十五条</w:t>
      </w:r>
      <w:r>
        <w:rPr>
          <w:rFonts w:ascii="仿宋" w:hAnsi="仿宋" w:eastAsia="仿宋"/>
        </w:rPr>
        <w:t>的规定，未在集团母公司核心一级资本中扣除的对金融机构的大额少数资本投资和相应的净递延税资产，合计金额不得超过本公司核心一级资本净额的35%。</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计算资本充足率时，其他应在核心一级资本、其他一级资本、二级资本中扣除的项目，应从相应的监管资本中对应扣除。</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第三节　风险加权资产计量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集团母公司应采用权重法计量信用风险加权资产，并可结合实际申请采用内部评级法。未经国务院银行业监督管理机构核准，集团母公司不得变更信用风险加权资产计量方法。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权重法下信用风险加权资产为表内资产信用风险加权资产与表外项目信用风险加权资产之和。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集团母公司计量各类表内资产的风险加权资产，应首先从资产账面价值中扣除相应的减值准备，然后乘以风险权重。</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施行后新增的各类表内资产的风险权重按照本办法附件1的规定执行，存续的表内资产按照《中国银监会办公厅关于印发金融资产管理公司非现场监管报表指标体系的通知》（银监办发〔2016〕38号）规定的集团母公司表内资产的风险权重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集团母公司计量各类表外项目的风险加权资产，应将表外项目名义金额乘以信用风险转换系数得到等值的表内资产，再按表内资产的处理方式计量风险加权资产。</w:t>
      </w:r>
    </w:p>
    <w:p>
      <w:pPr>
        <w:adjustRightInd w:val="0"/>
        <w:snapToGrid w:val="0"/>
        <w:spacing w:line="312" w:lineRule="auto"/>
        <w:ind w:firstLine="420" w:firstLineChars="200"/>
        <w:rPr>
          <w:rFonts w:hint="eastAsia" w:ascii="仿宋" w:hAnsi="仿宋" w:eastAsia="仿宋"/>
        </w:rPr>
      </w:pPr>
      <w:r>
        <w:rPr>
          <w:rFonts w:ascii="仿宋" w:hAnsi="仿宋" w:eastAsia="仿宋"/>
        </w:rPr>
        <w:t>各类表外项目的信用风险转换系数按照本办法附件1的规定执行。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集团母公司应当按照本办法附件2的规定计量资产证券化风险暴露的信用风险加权资产。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集团母公司采用权重法计量信用风险加权资产时，可按照本办法附件1的规定考虑合格质物质押或合格保证主体提供保证的风险缓释作用。</w:t>
      </w:r>
    </w:p>
    <w:p>
      <w:pPr>
        <w:adjustRightInd w:val="0"/>
        <w:snapToGrid w:val="0"/>
        <w:spacing w:line="312" w:lineRule="auto"/>
        <w:ind w:firstLine="420" w:firstLineChars="200"/>
        <w:rPr>
          <w:rFonts w:hint="eastAsia" w:ascii="仿宋" w:hAnsi="仿宋" w:eastAsia="仿宋"/>
        </w:rPr>
      </w:pPr>
      <w:r>
        <w:rPr>
          <w:rFonts w:ascii="仿宋" w:hAnsi="仿宋" w:eastAsia="仿宋"/>
        </w:rPr>
        <w:t>合格质物质押的债权（含证券融资类交易形成的债权），取得与质物相同的风险权重，或取得与对质物发行人或承兑人直接债权相同的风险权重。部分质押的债权（含证券融资类交易形成的债权），受质物保护的部分获得相应的较低风险权重。</w:t>
      </w:r>
    </w:p>
    <w:p>
      <w:pPr>
        <w:adjustRightInd w:val="0"/>
        <w:snapToGrid w:val="0"/>
        <w:spacing w:line="312" w:lineRule="auto"/>
        <w:ind w:firstLine="420" w:firstLineChars="200"/>
        <w:rPr>
          <w:rFonts w:hint="eastAsia" w:ascii="仿宋" w:hAnsi="仿宋" w:eastAsia="仿宋"/>
        </w:rPr>
      </w:pPr>
      <w:r>
        <w:rPr>
          <w:rFonts w:ascii="仿宋" w:hAnsi="仿宋" w:eastAsia="仿宋"/>
        </w:rPr>
        <w:t>合格保证主体提供全额保证的债权，取得与对保证人直接债权相同的风险权重。部分保证的债权，被保证部分获得相应的较低风险权重。</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集团母公司采用权重法的，质物或保证的担保期限短于被担保债权期限的，不具备风险缓释作用。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集团母公司应采用标准法计量市场风险资本要求。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集团母公司应当制定清晰的交易账簿和非交易账簿划分标准，明确纳入交易账簿的金融工具和商品头寸以及在交易账簿和非交易账簿间划转的条件，确保执行的一致性。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集团母公司交易账簿总头寸如未达到80亿元或未超过表内外总资产的5%，可不计提市场风险资本。</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集团母公司市场风险加权资产为市场风险资本要求的8倍，即：市场风险加权资产＝市场风险资本要求×8。</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集团母公司应当按照本办法附件3的规定分别计量利率风险、汇率风险、商品风险和股票风险的资本要求，并单独计量以各类风险为基础的期权工具风险的资本要求。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集团母公司应采用基本指标法计量操作风险资本要求。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集团母公司操作风险加权资产为操作风险资本要求的8倍，即：操作风险加权资产＝操作风险资本要求×8。</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集团母公司应当以集团母公司最近三年平均总收入为基础计量操作风险资本要求。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总收入按照本办法附件4的规定进行确认，包括不良资产经营及处置净收入、手续费及佣金净收入、投资收益、利息净收入以及其他收入。</w:t>
      </w:r>
    </w:p>
    <w:p>
      <w:pPr>
        <w:adjustRightInd w:val="0"/>
        <w:snapToGrid w:val="0"/>
        <w:spacing w:line="312" w:lineRule="auto"/>
        <w:ind w:firstLine="420" w:firstLineChars="200"/>
        <w:rPr>
          <w:rFonts w:hint="eastAsia" w:ascii="仿宋" w:hAnsi="仿宋" w:eastAsia="仿宋"/>
        </w:rPr>
      </w:pPr>
      <w:r>
        <w:rPr>
          <w:rFonts w:ascii="仿宋" w:hAnsi="仿宋" w:eastAsia="仿宋"/>
        </w:rPr>
        <w:t>操作风险资本要求按照以下公式计量：</w:t>
      </w:r>
    </w:p>
    <w:p>
      <w:pPr>
        <w:adjustRightInd w:val="0"/>
        <w:snapToGrid w:val="0"/>
        <w:spacing w:line="312" w:lineRule="auto"/>
        <w:ind w:firstLine="420" w:firstLineChars="200"/>
        <w:rPr>
          <w:rFonts w:hint="eastAsia" w:ascii="仿宋" w:hAnsi="仿宋" w:eastAsia="仿宋"/>
        </w:rPr>
      </w:pPr>
      <w:r>
        <w:rPr>
          <w:rFonts w:ascii="仿宋" w:hAnsi="仿宋" w:eastAsia="仿宋"/>
        </w:rPr>
        <w:drawing>
          <wp:inline distT="0" distB="0" distL="0" distR="0">
            <wp:extent cx="1981200" cy="857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81200" cy="857250"/>
                    </a:xfrm>
                    <a:prstGeom prst="rect">
                      <a:avLst/>
                    </a:prstGeom>
                    <a:noFill/>
                    <a:ln>
                      <a:noFill/>
                    </a:ln>
                  </pic:spPr>
                </pic:pic>
              </a:graphicData>
            </a:graphic>
          </wp:inline>
        </w:drawing>
      </w:r>
    </w:p>
    <w:p>
      <w:pPr>
        <w:adjustRightInd w:val="0"/>
        <w:snapToGrid w:val="0"/>
        <w:spacing w:line="312" w:lineRule="auto"/>
        <w:ind w:firstLine="420" w:firstLineChars="200"/>
        <w:rPr>
          <w:rFonts w:hint="eastAsia" w:ascii="仿宋" w:hAnsi="仿宋" w:eastAsia="仿宋"/>
        </w:rPr>
      </w:pPr>
      <w:r>
        <w:rPr>
          <w:rFonts w:ascii="仿宋" w:hAnsi="仿宋" w:eastAsia="仿宋"/>
        </w:rPr>
        <w:t>其中：</w:t>
      </w:r>
    </w:p>
    <w:p>
      <w:pPr>
        <w:adjustRightInd w:val="0"/>
        <w:snapToGrid w:val="0"/>
        <w:spacing w:line="312" w:lineRule="auto"/>
        <w:ind w:firstLine="420" w:firstLineChars="200"/>
        <w:rPr>
          <w:rFonts w:hint="eastAsia" w:ascii="仿宋" w:hAnsi="仿宋" w:eastAsia="仿宋"/>
        </w:rPr>
      </w:pPr>
      <w:r>
        <w:rPr>
          <w:rFonts w:ascii="仿宋" w:hAnsi="仿宋" w:eastAsia="仿宋"/>
        </w:rPr>
        <w:t>K</w:t>
      </w:r>
      <w:r>
        <w:rPr>
          <w:rFonts w:ascii="仿宋" w:hAnsi="仿宋" w:eastAsia="仿宋"/>
          <w:vertAlign w:val="subscript"/>
        </w:rPr>
        <w:t>BIA</w:t>
      </w:r>
      <w:r>
        <w:rPr>
          <w:rFonts w:ascii="仿宋" w:hAnsi="仿宋" w:eastAsia="仿宋"/>
        </w:rPr>
        <w:t>为按基本指标法计量的操作风险资本要求。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GI为过去三年中每年正的总收入。</w:t>
      </w:r>
    </w:p>
    <w:p>
      <w:pPr>
        <w:adjustRightInd w:val="0"/>
        <w:snapToGrid w:val="0"/>
        <w:spacing w:line="312" w:lineRule="auto"/>
        <w:ind w:firstLine="420" w:firstLineChars="200"/>
        <w:rPr>
          <w:rFonts w:hint="eastAsia" w:ascii="仿宋" w:hAnsi="仿宋" w:eastAsia="仿宋"/>
        </w:rPr>
      </w:pPr>
      <w:r>
        <w:rPr>
          <w:rFonts w:ascii="仿宋" w:hAnsi="仿宋" w:eastAsia="仿宋"/>
        </w:rPr>
        <w:t>n为过去三年中总收入为正的年数。</w:t>
      </w:r>
    </w:p>
    <w:p>
      <w:pPr>
        <w:adjustRightInd w:val="0"/>
        <w:snapToGrid w:val="0"/>
        <w:spacing w:line="312" w:lineRule="auto"/>
        <w:ind w:firstLine="420" w:firstLineChars="200"/>
        <w:rPr>
          <w:rFonts w:hint="eastAsia" w:ascii="仿宋" w:hAnsi="仿宋" w:eastAsia="仿宋"/>
        </w:rPr>
      </w:pPr>
      <w:r>
        <w:rPr>
          <w:rFonts w:ascii="仿宋" w:hAnsi="仿宋" w:eastAsia="仿宋"/>
        </w:rPr>
        <w:t>α为15%。</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第四节　杠杆率计算及监管要求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集团母公司杠杆率的计算公式为：</w:t>
      </w:r>
    </w:p>
    <w:p>
      <w:pPr>
        <w:adjustRightInd w:val="0"/>
        <w:snapToGrid w:val="0"/>
        <w:spacing w:line="312" w:lineRule="auto"/>
        <w:ind w:firstLine="420" w:firstLineChars="200"/>
        <w:rPr>
          <w:rFonts w:hint="eastAsia" w:ascii="仿宋" w:hAnsi="仿宋" w:eastAsia="仿宋"/>
        </w:rPr>
      </w:pPr>
      <w:r>
        <w:rPr>
          <w:rFonts w:ascii="仿宋" w:hAnsi="仿宋" w:eastAsia="仿宋"/>
        </w:rPr>
        <w:t>杠杆率＝一级资本净额/（调整后的表内资产余额＋衍生产品资产余额＋证券融资交易资产余额＋调整后的表外项目余额）×100%</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调整后的表内资产余额为表内总资产扣减衍生产品资产会计余额、证券融资交易资产会计余额及一级资本扣减项后的表内资产余额。</w:t>
      </w:r>
    </w:p>
    <w:p>
      <w:pPr>
        <w:adjustRightInd w:val="0"/>
        <w:snapToGrid w:val="0"/>
        <w:spacing w:line="312" w:lineRule="auto"/>
        <w:ind w:firstLine="420" w:firstLineChars="200"/>
        <w:rPr>
          <w:rFonts w:hint="eastAsia" w:ascii="仿宋" w:hAnsi="仿宋" w:eastAsia="仿宋"/>
        </w:rPr>
      </w:pPr>
      <w:r>
        <w:rPr>
          <w:rFonts w:ascii="仿宋" w:hAnsi="仿宋" w:eastAsia="仿宋"/>
        </w:rPr>
        <w:t>表内总资产是指扣减针对相关资产计提的准备或会计估值调整后的表内资产余额。</w:t>
      </w:r>
    </w:p>
    <w:p>
      <w:pPr>
        <w:adjustRightInd w:val="0"/>
        <w:snapToGrid w:val="0"/>
        <w:spacing w:line="312" w:lineRule="auto"/>
        <w:ind w:firstLine="420" w:firstLineChars="200"/>
        <w:rPr>
          <w:rFonts w:hint="eastAsia" w:ascii="仿宋" w:hAnsi="仿宋" w:eastAsia="仿宋"/>
        </w:rPr>
      </w:pPr>
      <w:r>
        <w:rPr>
          <w:rFonts w:ascii="仿宋" w:hAnsi="仿宋" w:eastAsia="仿宋"/>
        </w:rPr>
        <w:t>扣减的衍生产品资产是指衍生产品的公允价值及其变动形成的衍生资产会计余额，但不包括作为有效套期的衍生工具。</w:t>
      </w:r>
    </w:p>
    <w:p>
      <w:pPr>
        <w:adjustRightInd w:val="0"/>
        <w:snapToGrid w:val="0"/>
        <w:spacing w:line="312" w:lineRule="auto"/>
        <w:ind w:firstLine="420" w:firstLineChars="200"/>
        <w:rPr>
          <w:rFonts w:hint="eastAsia" w:ascii="仿宋" w:hAnsi="仿宋" w:eastAsia="仿宋"/>
        </w:rPr>
      </w:pPr>
      <w:r>
        <w:rPr>
          <w:rFonts w:ascii="仿宋" w:hAnsi="仿宋" w:eastAsia="仿宋"/>
        </w:rPr>
        <w:t>扣减的证券融资交易资产是指交易合约价值通过市场估值确定且通常要求提供现金或证券作为抵质押品的交易形成的资产会计余额，包括买入返售、卖出回购、证券借贷及保证金贷款交易等。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调整后的表外项目余额为集团母公司表外业务根据相应的信用转换系数计算得到的风险暴露。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集团母公司杠杆率不得低于6%。</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集团资本监管要求</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第一节　集团资本监管范围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集团资本监管范围包括集团母公司及其附属机构。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集团应当遵循“实质重于形式”的原则，以控制为基础，兼顾风险相关性，将符合下列条件之一的被投资机构，纳入集团资本监管范围：</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（一）集团母公司或其附属机构直接拥有，或与附属机构共同拥有50%以上表决权的被投资机构。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（二）集团母公司拥有50%（含）以下的表决权，但有下列情形之一的被投资机构：</w:t>
      </w:r>
    </w:p>
    <w:p>
      <w:pPr>
        <w:adjustRightInd w:val="0"/>
        <w:snapToGrid w:val="0"/>
        <w:spacing w:line="312" w:lineRule="auto"/>
        <w:ind w:firstLine="420" w:firstLineChars="200"/>
        <w:rPr>
          <w:rFonts w:hint="eastAsia" w:ascii="仿宋" w:hAnsi="仿宋" w:eastAsia="仿宋"/>
        </w:rPr>
      </w:pPr>
      <w:r>
        <w:rPr>
          <w:rFonts w:ascii="仿宋" w:hAnsi="仿宋" w:eastAsia="仿宋"/>
        </w:rPr>
        <w:t>1.通过与其他投资者之间的协议，拥有该机构50%以上的表决权。</w:t>
      </w:r>
    </w:p>
    <w:p>
      <w:pPr>
        <w:adjustRightInd w:val="0"/>
        <w:snapToGrid w:val="0"/>
        <w:spacing w:line="312" w:lineRule="auto"/>
        <w:ind w:firstLine="420" w:firstLineChars="200"/>
        <w:rPr>
          <w:rFonts w:hint="eastAsia" w:ascii="仿宋" w:hAnsi="仿宋" w:eastAsia="仿宋"/>
        </w:rPr>
      </w:pPr>
      <w:r>
        <w:rPr>
          <w:rFonts w:ascii="仿宋" w:hAnsi="仿宋" w:eastAsia="仿宋"/>
        </w:rPr>
        <w:t>2.根据章程或协议，有权决定该机构的财务和经营政策。</w:t>
      </w:r>
    </w:p>
    <w:p>
      <w:pPr>
        <w:adjustRightInd w:val="0"/>
        <w:snapToGrid w:val="0"/>
        <w:spacing w:line="312" w:lineRule="auto"/>
        <w:ind w:firstLine="420" w:firstLineChars="200"/>
        <w:rPr>
          <w:rFonts w:hint="eastAsia" w:ascii="仿宋" w:hAnsi="仿宋" w:eastAsia="仿宋"/>
        </w:rPr>
      </w:pPr>
      <w:r>
        <w:rPr>
          <w:rFonts w:ascii="仿宋" w:hAnsi="仿宋" w:eastAsia="仿宋"/>
        </w:rPr>
        <w:t>3.有权任免该机构董事会或类似权力机构的多数成员。</w:t>
      </w:r>
    </w:p>
    <w:p>
      <w:pPr>
        <w:adjustRightInd w:val="0"/>
        <w:snapToGrid w:val="0"/>
        <w:spacing w:line="312" w:lineRule="auto"/>
        <w:ind w:firstLine="420" w:firstLineChars="200"/>
        <w:rPr>
          <w:rFonts w:hint="eastAsia" w:ascii="仿宋" w:hAnsi="仿宋" w:eastAsia="仿宋"/>
        </w:rPr>
      </w:pPr>
      <w:r>
        <w:rPr>
          <w:rFonts w:ascii="仿宋" w:hAnsi="仿宋" w:eastAsia="仿宋"/>
        </w:rPr>
        <w:t>4.在该机构董事会或类似权力机构拥有多数表决权。</w:t>
      </w:r>
    </w:p>
    <w:p>
      <w:pPr>
        <w:adjustRightInd w:val="0"/>
        <w:snapToGrid w:val="0"/>
        <w:spacing w:line="312" w:lineRule="auto"/>
        <w:ind w:firstLine="420" w:firstLineChars="200"/>
        <w:rPr>
          <w:rFonts w:hint="eastAsia" w:ascii="仿宋" w:hAnsi="仿宋" w:eastAsia="仿宋"/>
        </w:rPr>
      </w:pPr>
      <w:r>
        <w:rPr>
          <w:rFonts w:ascii="仿宋" w:hAnsi="仿宋" w:eastAsia="仿宋"/>
        </w:rPr>
        <w:t>确定对被投资机构的表决权时，应考虑集团持有的该机构的当期可转换公司债券、当期可执行的认股权证等潜在表决权因素。对于当期可以实现的潜在表决权，应当计入集团母公司对被投资机构的表决权。</w:t>
      </w:r>
    </w:p>
    <w:p>
      <w:pPr>
        <w:adjustRightInd w:val="0"/>
        <w:snapToGrid w:val="0"/>
        <w:spacing w:line="312" w:lineRule="auto"/>
        <w:ind w:firstLine="420" w:firstLineChars="200"/>
        <w:rPr>
          <w:rFonts w:hint="eastAsia" w:ascii="仿宋" w:hAnsi="仿宋" w:eastAsia="仿宋"/>
        </w:rPr>
      </w:pPr>
      <w:r>
        <w:rPr>
          <w:rFonts w:ascii="仿宋" w:hAnsi="仿宋" w:eastAsia="仿宋"/>
        </w:rPr>
        <w:t>（三）其他证据表明受集团母公司实际控制的被投资机构。</w:t>
      </w:r>
    </w:p>
    <w:p>
      <w:pPr>
        <w:adjustRightInd w:val="0"/>
        <w:snapToGrid w:val="0"/>
        <w:spacing w:line="312" w:lineRule="auto"/>
        <w:ind w:firstLine="420" w:firstLineChars="200"/>
        <w:rPr>
          <w:rFonts w:hint="eastAsia" w:ascii="仿宋" w:hAnsi="仿宋" w:eastAsia="仿宋"/>
        </w:rPr>
      </w:pPr>
      <w:r>
        <w:rPr>
          <w:rFonts w:ascii="仿宋" w:hAnsi="仿宋" w:eastAsia="仿宋"/>
        </w:rPr>
        <w:t>控制，是指投资方拥有对被投资方的权力，通过参与被投资方的相关活动而享有可变回报，并且有能力运用对被投资方的权力影响其回报金额。</w:t>
      </w:r>
    </w:p>
    <w:p>
      <w:pPr>
        <w:adjustRightInd w:val="0"/>
        <w:snapToGrid w:val="0"/>
        <w:spacing w:line="312" w:lineRule="auto"/>
        <w:ind w:firstLine="420" w:firstLineChars="200"/>
        <w:rPr>
          <w:rFonts w:hint="eastAsia" w:ascii="仿宋" w:hAnsi="仿宋" w:eastAsia="仿宋"/>
        </w:rPr>
      </w:pPr>
      <w:r>
        <w:rPr>
          <w:rFonts w:ascii="仿宋" w:hAnsi="仿宋" w:eastAsia="仿宋"/>
        </w:rPr>
        <w:t>国务院银行业监督管理机构有权根据集团母公司的股权结构变动、风险类别等确定和调整集团资本监管范围。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集团母公司未拥有被投资机构多数表决权或控制权，具有下列情况之一的，应当纳入集团资本监管范围：</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（一）具有业务同质性的多个机构，虽然单个机构资产规模占集团整体资产规模的比例较小，但根据风险相关性，该类机构的总体风险足以对集团母公司的财务状况及风险水平造成重大影响。</w:t>
      </w:r>
    </w:p>
    <w:p>
      <w:pPr>
        <w:adjustRightInd w:val="0"/>
        <w:snapToGrid w:val="0"/>
        <w:spacing w:line="312" w:lineRule="auto"/>
        <w:ind w:firstLine="420" w:firstLineChars="200"/>
        <w:rPr>
          <w:rFonts w:hint="eastAsia" w:ascii="仿宋" w:hAnsi="仿宋" w:eastAsia="仿宋"/>
        </w:rPr>
      </w:pPr>
      <w:r>
        <w:rPr>
          <w:rFonts w:ascii="仿宋" w:hAnsi="仿宋" w:eastAsia="仿宋"/>
        </w:rPr>
        <w:t>（二）被投资机构所产生的合规风险、声誉风险造成的危害和损失足以对集团母公司造成重大影响。</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下列被投资机构可以不纳入集团资本监管范围：</w:t>
      </w:r>
    </w:p>
    <w:p>
      <w:pPr>
        <w:adjustRightInd w:val="0"/>
        <w:snapToGrid w:val="0"/>
        <w:spacing w:line="312" w:lineRule="auto"/>
        <w:ind w:firstLine="420" w:firstLineChars="200"/>
        <w:rPr>
          <w:rFonts w:hint="eastAsia" w:ascii="仿宋" w:hAnsi="仿宋" w:eastAsia="仿宋"/>
        </w:rPr>
      </w:pPr>
      <w:r>
        <w:rPr>
          <w:rFonts w:ascii="仿宋" w:hAnsi="仿宋" w:eastAsia="仿宋"/>
        </w:rPr>
        <w:t>（一）已关闭或已宣告破产的机构。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（二）因终止而进入清算程序的机构。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（三）有证据证明决定在三年内出售的、集团母公司或附属机构的权益性资本在50%以上的被投资机构。</w:t>
      </w:r>
    </w:p>
    <w:p>
      <w:pPr>
        <w:adjustRightInd w:val="0"/>
        <w:snapToGrid w:val="0"/>
        <w:spacing w:line="312" w:lineRule="auto"/>
        <w:ind w:firstLine="420" w:firstLineChars="200"/>
        <w:rPr>
          <w:rFonts w:hint="eastAsia" w:ascii="仿宋" w:hAnsi="仿宋" w:eastAsia="仿宋"/>
        </w:rPr>
      </w:pPr>
      <w:r>
        <w:rPr>
          <w:rFonts w:ascii="仿宋" w:hAnsi="仿宋" w:eastAsia="仿宋"/>
        </w:rPr>
        <w:t>（四）受所在国外汇管制或其他突发事件影响、资金调度受到限制的境外附属机构。</w:t>
      </w:r>
    </w:p>
    <w:p>
      <w:pPr>
        <w:adjustRightInd w:val="0"/>
        <w:snapToGrid w:val="0"/>
        <w:spacing w:line="312" w:lineRule="auto"/>
        <w:ind w:firstLine="420" w:firstLineChars="200"/>
        <w:rPr>
          <w:rFonts w:hint="eastAsia" w:ascii="仿宋" w:hAnsi="仿宋" w:eastAsia="仿宋"/>
        </w:rPr>
      </w:pPr>
      <w:r>
        <w:rPr>
          <w:rFonts w:ascii="仿宋" w:hAnsi="仿宋" w:eastAsia="仿宋"/>
        </w:rPr>
        <w:t>（五）集团母公司或经批准实施债转股的附属机构短期或阶段性持有的债转股企业。</w:t>
      </w:r>
    </w:p>
    <w:p>
      <w:pPr>
        <w:adjustRightInd w:val="0"/>
        <w:snapToGrid w:val="0"/>
        <w:spacing w:line="312" w:lineRule="auto"/>
        <w:ind w:firstLine="420" w:firstLineChars="200"/>
        <w:rPr>
          <w:rFonts w:hint="eastAsia" w:ascii="仿宋" w:hAnsi="仿宋" w:eastAsia="仿宋"/>
        </w:rPr>
      </w:pPr>
      <w:r>
        <w:rPr>
          <w:rFonts w:ascii="仿宋" w:hAnsi="仿宋" w:eastAsia="仿宋"/>
        </w:rPr>
        <w:t>集团母公司或附属机构应制定阶段性持有债转股企业的退出计划，并报国务院银行业监督管理机构备案。超出计划退出期限仍未退出且具有实际控制权的债转股企业，原则上应纳入集团资本监管范围。</w:t>
      </w:r>
    </w:p>
    <w:p>
      <w:pPr>
        <w:adjustRightInd w:val="0"/>
        <w:snapToGrid w:val="0"/>
        <w:spacing w:line="312" w:lineRule="auto"/>
        <w:ind w:firstLine="420" w:firstLineChars="200"/>
        <w:rPr>
          <w:rFonts w:hint="eastAsia" w:ascii="仿宋" w:hAnsi="仿宋" w:eastAsia="仿宋"/>
        </w:rPr>
      </w:pPr>
      <w:r>
        <w:rPr>
          <w:rFonts w:ascii="仿宋" w:hAnsi="仿宋" w:eastAsia="仿宋"/>
        </w:rPr>
        <w:t>（六）符合以下任一条件的附属非金融机构：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1.金融资产占总资产的比重低于50%（金融资产的范围应符合《企业会计准则第22号--金融工具确认和计量》的相关规定）。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2.资产负债率低于70%。</w:t>
      </w:r>
    </w:p>
    <w:p>
      <w:pPr>
        <w:adjustRightInd w:val="0"/>
        <w:snapToGrid w:val="0"/>
        <w:spacing w:line="312" w:lineRule="auto"/>
        <w:ind w:firstLine="420" w:firstLineChars="200"/>
        <w:rPr>
          <w:rFonts w:hint="eastAsia" w:ascii="仿宋" w:hAnsi="仿宋" w:eastAsia="仿宋"/>
        </w:rPr>
      </w:pPr>
      <w:r>
        <w:rPr>
          <w:rFonts w:ascii="仿宋" w:hAnsi="仿宋" w:eastAsia="仿宋"/>
        </w:rPr>
        <w:t>3.经国务院银行业监督管理机构认定不具有投融资功能。</w:t>
      </w:r>
    </w:p>
    <w:p>
      <w:pPr>
        <w:adjustRightInd w:val="0"/>
        <w:snapToGrid w:val="0"/>
        <w:spacing w:line="312" w:lineRule="auto"/>
        <w:ind w:firstLine="420" w:firstLineChars="200"/>
        <w:rPr>
          <w:rFonts w:hint="eastAsia" w:ascii="仿宋" w:hAnsi="仿宋" w:eastAsia="仿宋"/>
        </w:rPr>
      </w:pPr>
      <w:r>
        <w:rPr>
          <w:rFonts w:ascii="仿宋" w:hAnsi="仿宋" w:eastAsia="仿宋"/>
        </w:rPr>
        <w:t>本项规定的条件，主要依据该附属非金融机构最近两年经审计的年末财务报表的算术平均值进行判断，成立不满两年的，可依据自成立之日起至最近一期经审计财务报表进行判断。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集团母公司及其附属金融机构对附属非金融机构提供长期清偿担保的，该非金融机构应纳入集团资本监管范围；无清偿担保或清偿担保可无条件撤销的，由集团母公司按审慎原则处理。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集团母公司应当加强附属机构资本管理，根据自身实际情况确定对各级附属非金融机构资本充足性的管理要求，并督促附属机构持续满足资本管理和监管要求。</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第二节　集团合格资本计量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集团合格资本包括集团母公司合格资本和附属机构合格资本两部分。集团母公司应当根据集团内部交叉持股、互持资本工具、过度杠杆、未纳入集团资本监管范围的附属机构资本缺口等情况计量集团合格资本调整项，对集团合格资本进行相应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集团合格资本净额按照以下公式计算：</w:t>
      </w:r>
    </w:p>
    <w:p>
      <w:pPr>
        <w:adjustRightInd w:val="0"/>
        <w:snapToGrid w:val="0"/>
        <w:spacing w:line="312" w:lineRule="auto"/>
        <w:ind w:firstLine="420" w:firstLineChars="200"/>
        <w:rPr>
          <w:rFonts w:hint="eastAsia" w:ascii="仿宋" w:hAnsi="仿宋" w:eastAsia="仿宋"/>
        </w:rPr>
      </w:pPr>
      <w:r>
        <w:rPr>
          <w:rFonts w:ascii="仿宋" w:hAnsi="仿宋" w:eastAsia="仿宋"/>
        </w:rPr>
        <w:t>集团合格资本净额＝集团母公司合格资本净额＋∑（附属机构合格资本净额×集团母公司对该附属机构的持股比例）-集团合格资本调整项</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前款公式中的附属机构只包括集团母公司直接持股的一级附属机构（含附属金融机构和非金融机构，并对二级及以下附属机构进行资本并表），对附属机构持股比例应包括直接及间接持股；集团母公司应当按照本办法</w:t>
      </w:r>
      <w:r>
        <w:rPr>
          <w:rFonts w:ascii="仿宋" w:hAnsi="仿宋" w:eastAsia="仿宋"/>
          <w:b/>
        </w:rPr>
        <w:t>第二章第二节的规定计算合格资本净额，按照本办法第五十六条的规定计算集团合格资本调整项。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附属金融机构是指由国务院银行业监督管理机构、证券监督管理机构和保险监督管理机构依法监督管理的集团附属机构，其合格资本净额是指在资本并表口径下按照相关行业资本监管规定计量得出的资本净额。</w:t>
      </w:r>
    </w:p>
    <w:p>
      <w:pPr>
        <w:adjustRightInd w:val="0"/>
        <w:snapToGrid w:val="0"/>
        <w:spacing w:line="312" w:lineRule="auto"/>
        <w:ind w:firstLine="420" w:firstLineChars="200"/>
        <w:rPr>
          <w:rFonts w:hint="eastAsia" w:ascii="仿宋" w:hAnsi="仿宋" w:eastAsia="仿宋"/>
        </w:rPr>
      </w:pPr>
      <w:r>
        <w:rPr>
          <w:rFonts w:ascii="仿宋" w:hAnsi="仿宋" w:eastAsia="仿宋"/>
        </w:rPr>
        <w:t>对于相关行业资本监管要求只适用于法人口径的附属金融机构，其合格资本净额按照法人口径计量；若其还存在附属机构，按照相关行业监管规定计量其合格资本，若无资本监管规定的，按本办法</w:t>
      </w:r>
      <w:r>
        <w:rPr>
          <w:rFonts w:ascii="仿宋" w:hAnsi="仿宋" w:eastAsia="仿宋"/>
          <w:b/>
        </w:rPr>
        <w:t>第五十五条</w:t>
      </w:r>
      <w:r>
        <w:rPr>
          <w:rFonts w:ascii="仿宋" w:hAnsi="仿宋" w:eastAsia="仿宋"/>
        </w:rPr>
        <w:t>规定计量其合格资本，并按照</w:t>
      </w:r>
      <w:r>
        <w:rPr>
          <w:rFonts w:ascii="仿宋" w:hAnsi="仿宋" w:eastAsia="仿宋"/>
          <w:b/>
        </w:rPr>
        <w:t>第五十六条</w:t>
      </w:r>
      <w:r>
        <w:rPr>
          <w:rFonts w:ascii="仿宋" w:hAnsi="仿宋" w:eastAsia="仿宋"/>
        </w:rPr>
        <w:t>规定计入二级及以下附属机构的资本缺口调整项。</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第五十五条</w:t>
      </w:r>
      <w:r>
        <w:rPr>
          <w:rFonts w:ascii="仿宋" w:hAnsi="仿宋" w:eastAsia="仿宋"/>
        </w:rPr>
        <w:t>　附属非金融机构是指应纳入集团资本监管范围的除附属金融机构以外的其他附属机构，其合格资本净额是指在资本并表口径下参照本办法</w:t>
      </w:r>
      <w:r>
        <w:rPr>
          <w:rFonts w:ascii="仿宋" w:hAnsi="仿宋" w:eastAsia="仿宋"/>
          <w:b/>
        </w:rPr>
        <w:t>第二章第二节规定计量得出的合格资本净额，资本并表中产生的少数股东权益可按规定部分计入合格资本。</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发布前附属非金融机构已经持有的、按照此前相关监管规定属于合格资本但按照本办法规定不能认定为合格资本的部分，自2018年1月1日起按年递减20%计算，2022年1月1日起不得计入监管资本；因新旧计量规则差异导致集团母公司和附属非金融机构增加资本扣除要求的部分，自2018年1月1日起分五年逐步实施，即第一年扣除20%，第二年扣除40%，第三年扣除60%，第四年扣除80%，第五年全额扣除。</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集团合格资本调整项包括：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集团补充资本调整项。该调整项包括集团母公司和各级附属机构之间、各级附属机构之间的持股额及相互持有的其他合格资本工具、经审核无法转移的资本额或国务院银行业监督管理机构认定为虚增资本的其他资本投资。</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持股额主要包括过度杠杆，即将发债和借入资金以股权或其他方式注资获得的持股额；相互持有的其他合格资本工具包括优先股、二级资本债券等被认定为被投资机构合格资本的其他资本工具。但上述两项均不包括已在附属机构按照资本并表口径计量资本数据时合并抵销掉的持股额，以及在集团母公司合格资本中已扣除的各级资本工具。</w:t>
      </w:r>
    </w:p>
    <w:p>
      <w:pPr>
        <w:adjustRightInd w:val="0"/>
        <w:snapToGrid w:val="0"/>
        <w:spacing w:line="312" w:lineRule="auto"/>
        <w:ind w:firstLine="420" w:firstLineChars="200"/>
        <w:rPr>
          <w:rFonts w:hint="eastAsia" w:ascii="仿宋" w:hAnsi="仿宋" w:eastAsia="仿宋"/>
        </w:rPr>
      </w:pPr>
      <w:r>
        <w:rPr>
          <w:rFonts w:ascii="仿宋" w:hAnsi="仿宋" w:eastAsia="仿宋"/>
        </w:rPr>
        <w:t>（二）二级及以下附属机构的资本缺口调整项。该调整项是指，相关行业资本监管要求只适用于法人口径的一级附属金融机构时，该金融机构的附属机构的资本缺口与集团母公司对其持股比例（包括直接及间接持股）的乘积汇总之和。</w:t>
      </w:r>
    </w:p>
    <w:p>
      <w:pPr>
        <w:adjustRightInd w:val="0"/>
        <w:snapToGrid w:val="0"/>
        <w:spacing w:line="312" w:lineRule="auto"/>
        <w:ind w:firstLine="420" w:firstLineChars="200"/>
        <w:rPr>
          <w:rFonts w:hint="eastAsia" w:ascii="仿宋" w:hAnsi="仿宋" w:eastAsia="仿宋"/>
        </w:rPr>
      </w:pPr>
      <w:r>
        <w:rPr>
          <w:rFonts w:ascii="仿宋" w:hAnsi="仿宋" w:eastAsia="仿宋"/>
        </w:rPr>
        <w:t>二级及以下附属机构的资本缺口等于该附属机构的合格资本小于最低资本要求的差额，如合格资本超过最低资本要求，则超额部分在本项目中列为负值，即资本缺口调整项为负值。若相关行业监管机构对二级及以下附属机构有资本监管规定的，按相关规定计量其合格资本及最低资本要求，若无资本监管规定的，按本办法</w:t>
      </w:r>
      <w:r>
        <w:rPr>
          <w:rFonts w:ascii="仿宋" w:hAnsi="仿宋" w:eastAsia="仿宋"/>
          <w:b/>
        </w:rPr>
        <w:t>第五十五条</w:t>
      </w:r>
      <w:r>
        <w:rPr>
          <w:rFonts w:ascii="仿宋" w:hAnsi="仿宋" w:eastAsia="仿宋"/>
        </w:rPr>
        <w:t>、</w:t>
      </w:r>
      <w:r>
        <w:rPr>
          <w:rFonts w:ascii="仿宋" w:hAnsi="仿宋" w:eastAsia="仿宋"/>
          <w:b/>
        </w:rPr>
        <w:t>第六十条</w:t>
      </w:r>
      <w:r>
        <w:rPr>
          <w:rFonts w:ascii="仿宋" w:hAnsi="仿宋" w:eastAsia="仿宋"/>
        </w:rPr>
        <w:t>相关规定计算。</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第三节　集团最低资本要求计量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集团最低资本要求包括集团母公司最低资本要求和附属机构最低资本要求两部分。集团应当根据集团内部借款、担保（含等同于担保的或有项目）等情况计量集团最低资本要求调整项，对集团最低资本要求进行相应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集团最低资本要求计算公式如下：</w:t>
      </w:r>
    </w:p>
    <w:p>
      <w:pPr>
        <w:adjustRightInd w:val="0"/>
        <w:snapToGrid w:val="0"/>
        <w:spacing w:line="312" w:lineRule="auto"/>
        <w:ind w:firstLine="420" w:firstLineChars="200"/>
        <w:rPr>
          <w:rFonts w:hint="eastAsia" w:ascii="仿宋" w:hAnsi="仿宋" w:eastAsia="仿宋"/>
        </w:rPr>
      </w:pPr>
      <w:r>
        <w:rPr>
          <w:rFonts w:ascii="仿宋" w:hAnsi="仿宋" w:eastAsia="仿宋"/>
        </w:rPr>
        <w:t>集团最低资本要求＝集团母公司最低资本要求＋∑（附属机构最低资本要求×集团母公司对该附属机构的持股比例）-集团最低资本要求调整项</w:t>
      </w:r>
    </w:p>
    <w:p>
      <w:pPr>
        <w:adjustRightInd w:val="0"/>
        <w:snapToGrid w:val="0"/>
        <w:spacing w:line="312" w:lineRule="auto"/>
        <w:ind w:firstLine="420" w:firstLineChars="200"/>
        <w:rPr>
          <w:rFonts w:hint="eastAsia" w:ascii="仿宋" w:hAnsi="仿宋" w:eastAsia="仿宋"/>
        </w:rPr>
      </w:pPr>
      <w:r>
        <w:rPr>
          <w:rFonts w:ascii="仿宋" w:hAnsi="仿宋" w:eastAsia="仿宋"/>
        </w:rPr>
        <w:t>集团母公司最低资本要求，应取以下二者中较高值：</w:t>
      </w:r>
    </w:p>
    <w:p>
      <w:pPr>
        <w:adjustRightInd w:val="0"/>
        <w:snapToGrid w:val="0"/>
        <w:spacing w:line="312" w:lineRule="auto"/>
        <w:ind w:firstLine="420" w:firstLineChars="200"/>
        <w:rPr>
          <w:rFonts w:hint="eastAsia" w:ascii="仿宋" w:hAnsi="仿宋" w:eastAsia="仿宋"/>
        </w:rPr>
      </w:pPr>
      <w:r>
        <w:rPr>
          <w:rFonts w:ascii="仿宋" w:hAnsi="仿宋" w:eastAsia="仿宋"/>
        </w:rPr>
        <w:t>风险加权资产总额×资本充足率监管要求，（调整后的表内资产余额＋衍生产品资产余额＋证券融资交易资产余额＋调整后的表外项目余额）×杠杆率监管要求。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附属金融机构最低资本要求是指在资本并表口径下按照相关行业资本监管规定计量得出的最低资本要求。对于相关行业资本监管要求只适用于法人口径的附属金融机构，其最低资本要求按照法人口径计量；若其还存在附属机构，按照相关行业监管规定计量其最低资本要求，若无资本监管规定的，按本办法</w:t>
      </w:r>
      <w:r>
        <w:rPr>
          <w:rFonts w:ascii="仿宋" w:hAnsi="仿宋" w:eastAsia="仿宋"/>
          <w:b/>
        </w:rPr>
        <w:t>第六十条</w:t>
      </w:r>
      <w:r>
        <w:rPr>
          <w:rFonts w:ascii="仿宋" w:hAnsi="仿宋" w:eastAsia="仿宋"/>
        </w:rPr>
        <w:t>规定计量其最低资本要求，并按照</w:t>
      </w:r>
      <w:r>
        <w:rPr>
          <w:rFonts w:ascii="仿宋" w:hAnsi="仿宋" w:eastAsia="仿宋"/>
          <w:b/>
        </w:rPr>
        <w:t>第五十六条</w:t>
      </w:r>
      <w:r>
        <w:rPr>
          <w:rFonts w:ascii="仿宋" w:hAnsi="仿宋" w:eastAsia="仿宋"/>
        </w:rPr>
        <w:t>规定计入二级及以下附属机构的资本缺口调整项。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附属非金融机构最低资本要求计算公式如下：</w:t>
      </w:r>
    </w:p>
    <w:p>
      <w:pPr>
        <w:adjustRightInd w:val="0"/>
        <w:snapToGrid w:val="0"/>
        <w:spacing w:line="312" w:lineRule="auto"/>
        <w:ind w:firstLine="420" w:firstLineChars="200"/>
        <w:rPr>
          <w:rFonts w:hint="eastAsia" w:ascii="仿宋" w:hAnsi="仿宋" w:eastAsia="仿宋"/>
        </w:rPr>
      </w:pPr>
      <w:r>
        <w:rPr>
          <w:rFonts w:ascii="仿宋" w:hAnsi="仿宋" w:eastAsia="仿宋"/>
        </w:rPr>
        <w:t>附属非金融机构最低资本要求＝风险加权资产×资本充足率要求×管理层级难度系数</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公式中的附属非金融机构最低资本要求是指对一级附属非金融机构在资本并表口径下参照本办法</w:t>
      </w:r>
      <w:r>
        <w:rPr>
          <w:rFonts w:ascii="仿宋" w:hAnsi="仿宋" w:eastAsia="仿宋"/>
          <w:b/>
        </w:rPr>
        <w:t>第二章第三节规定计量得出的风险加权资产总额与本办法第二章第一节规定的资本充足率监管要求以及管理层级难度系数三者的乘积。其中，附属非金融机构交易账簿总头寸未超过表内外总资产的5%，可不计提市场风险资本。</w:t>
      </w:r>
    </w:p>
    <w:p>
      <w:pPr>
        <w:adjustRightInd w:val="0"/>
        <w:snapToGrid w:val="0"/>
        <w:spacing w:line="312" w:lineRule="auto"/>
        <w:ind w:firstLine="420" w:firstLineChars="200"/>
        <w:rPr>
          <w:rFonts w:hint="eastAsia" w:ascii="仿宋" w:hAnsi="仿宋" w:eastAsia="仿宋"/>
        </w:rPr>
      </w:pPr>
      <w:r>
        <w:rPr>
          <w:rFonts w:ascii="仿宋" w:hAnsi="仿宋" w:eastAsia="仿宋"/>
        </w:rPr>
        <w:t>管理层级难度系数为（100＋N）%，附属非金融机构的集团层级不超过三级时N＝0，层级为四级时N＝10，层级为五级时N＝20，以此类推。集团层级由集团母公司起算，特殊目的实体和项目公司可不纳入层级计算。管理层级难度系数自2018年底开始纳入附属非金融机构最低资本要求计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集团最低资本要求调整项，是指由于集团母公司与集团各级附属机构之间的借款、担保及等同于担保的或有项目形成的监管资本要求在集团范围内的重复计算而产生的调整项，等于上述借款、担保余额与集团母公司对附属机构持股比例（包括直接及间接持股）以及对集团母公司的资本充足率监管要求的乘积汇总之和。</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第四节　集团超额资本计算及监管要求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集团超额资本计算公式如下：</w:t>
      </w:r>
    </w:p>
    <w:p>
      <w:pPr>
        <w:adjustRightInd w:val="0"/>
        <w:snapToGrid w:val="0"/>
        <w:spacing w:line="312" w:lineRule="auto"/>
        <w:ind w:firstLine="420" w:firstLineChars="200"/>
        <w:rPr>
          <w:rFonts w:hint="eastAsia" w:ascii="仿宋" w:hAnsi="仿宋" w:eastAsia="仿宋"/>
        </w:rPr>
      </w:pPr>
      <w:r>
        <w:rPr>
          <w:rFonts w:ascii="仿宋" w:hAnsi="仿宋" w:eastAsia="仿宋"/>
        </w:rPr>
        <w:t>集团超额资本＝集团合格资本净额-集团最低资本要求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集团超额资本不得低于0。</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国务院银行业监督管理机构有权根据集团母公司及其附属机构的股权结构、业务类别及风险状况等确定和调整集团超额资本的计算范围。</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第五节　集团财务杠杆率计算及监管要求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第六十五条</w:t>
      </w:r>
      <w:r>
        <w:rPr>
          <w:rFonts w:ascii="仿宋" w:hAnsi="仿宋" w:eastAsia="仿宋"/>
        </w:rPr>
        <w:t>　集团财务杠杆率的计算公式为：</w:t>
      </w:r>
    </w:p>
    <w:p>
      <w:pPr>
        <w:adjustRightInd w:val="0"/>
        <w:snapToGrid w:val="0"/>
        <w:spacing w:line="312" w:lineRule="auto"/>
        <w:ind w:firstLine="420" w:firstLineChars="200"/>
        <w:rPr>
          <w:rFonts w:hint="eastAsia" w:ascii="仿宋" w:hAnsi="仿宋" w:eastAsia="仿宋"/>
        </w:rPr>
      </w:pPr>
      <w:r>
        <w:rPr>
          <w:rFonts w:ascii="仿宋" w:hAnsi="仿宋" w:eastAsia="仿宋"/>
        </w:rPr>
        <w:t>集团财务杠杆率＝集团合并净资产/（集团表内总资产＋集团表外项目＋集团表外管理资产-调整项）×100%</w:t>
      </w:r>
    </w:p>
    <w:p>
      <w:pPr>
        <w:adjustRightInd w:val="0"/>
        <w:snapToGrid w:val="0"/>
        <w:spacing w:line="312" w:lineRule="auto"/>
        <w:ind w:firstLine="420" w:firstLineChars="200"/>
        <w:rPr>
          <w:rFonts w:hint="eastAsia" w:ascii="仿宋" w:hAnsi="仿宋" w:eastAsia="仿宋"/>
        </w:rPr>
      </w:pPr>
      <w:r>
        <w:rPr>
          <w:rFonts w:ascii="仿宋" w:hAnsi="仿宋" w:eastAsia="仿宋"/>
        </w:rPr>
        <w:t>集团表外项目，包括远期收购承诺、信用增级、对外提供融资性担保、非融资性担保、不可撤销的流动性支持承诺及其他或有项目。</w:t>
      </w:r>
    </w:p>
    <w:p>
      <w:pPr>
        <w:adjustRightInd w:val="0"/>
        <w:snapToGrid w:val="0"/>
        <w:spacing w:line="312" w:lineRule="auto"/>
        <w:ind w:firstLine="420" w:firstLineChars="200"/>
        <w:rPr>
          <w:rFonts w:hint="eastAsia" w:ascii="仿宋" w:hAnsi="仿宋" w:eastAsia="仿宋"/>
        </w:rPr>
      </w:pPr>
      <w:r>
        <w:rPr>
          <w:rFonts w:ascii="仿宋" w:hAnsi="仿宋" w:eastAsia="仿宋"/>
        </w:rPr>
        <w:t>集团表外管理资产，包括集团母公司及其附属机构实际进行管理而未纳入资产负债表内的各类资产，主要包括资产证券化资产、银行理财、委托贷款、信托计划、资产管理计划、私募基金等形式的资产。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调整项，包括集团母公司及其附属机构有充分证据证明自身对表外管理资产不承担会计、法律和事实上的本金或收益兑付义务的资产。虽未在合同中约定本金或收益的兑付义务，但根据此类资产的历史兑付情况很有可能履行兑付义务的资产不得列入调整项。国务院银行业监督管理机构有权通过日常监管和现场检查对调整项科目进行核实，如发现集团将不符合规定的资产纳入调整项，可根据有关监管法规及本办法</w:t>
      </w:r>
      <w:r>
        <w:rPr>
          <w:rFonts w:ascii="仿宋" w:hAnsi="仿宋" w:eastAsia="仿宋"/>
          <w:b/>
        </w:rPr>
        <w:t>第四章的相关规定对集团采取监管措施。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第六十六条</w:t>
      </w:r>
      <w:r>
        <w:rPr>
          <w:rFonts w:ascii="仿宋" w:hAnsi="仿宋" w:eastAsia="仿宋"/>
        </w:rPr>
        <w:t>　集团财务杠杆率不得低于8%。</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监督检查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第六十七条</w:t>
      </w:r>
      <w:r>
        <w:rPr>
          <w:rFonts w:ascii="仿宋" w:hAnsi="仿宋" w:eastAsia="仿宋"/>
        </w:rPr>
        <w:t>　国务院银行业监督管理机构对集团及集团母公司实施资本充足性监督检查，确保资本能够充分覆盖所面临的各类风险。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第六十八条</w:t>
      </w:r>
      <w:r>
        <w:rPr>
          <w:rFonts w:ascii="仿宋" w:hAnsi="仿宋" w:eastAsia="仿宋"/>
        </w:rPr>
        <w:t>　除最低资本要求外，国务院银行业监督管理机构有权根据日常监管和现场检查情况提出更审慎的附加资本要求，确保资本充分覆盖风险，包括：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（一）根据单家资产公司的功能定位及发展战略执行情况、不良资产主业经营和发展状况、投资设立金融和非金融附属机构以及附属机构经营和发展情况等，提出的集团附加资本要求。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（二）根据对特定资产组合的风险及与主业相关度的判断，通过调整风险权重、相关性系数、有效期限等方法，针对特定资产组合提出的附加资本要求。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（三）根据监督检查结果，针对集团或集团母公司提出的附加资本要求。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（四）根据单家集团母公司未建立内部资本充足评估程序，或内部资本充足评估程序未达到相关要求等情况，结合对风险状况的评估结果，针对集团母公司提出的附加资本要求。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（五）根据单家集团母公司操作风险管理水平及操作风险事件发生情况，针对集团母公司提出的操作风险附加资本要求。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第六十九条</w:t>
      </w:r>
      <w:r>
        <w:rPr>
          <w:rFonts w:ascii="仿宋" w:hAnsi="仿宋" w:eastAsia="仿宋"/>
        </w:rPr>
        <w:t>　集团母公司应当在年度结束后的四个月内向国务院银行业监督管理机构提交内部资本充足性评估报告。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第七十条</w:t>
      </w:r>
      <w:r>
        <w:rPr>
          <w:rFonts w:ascii="仿宋" w:hAnsi="仿宋" w:eastAsia="仿宋"/>
        </w:rPr>
        <w:t>　根据资本充足状况，国务院银行业监督管理机构将资产公司分为三类：</w:t>
      </w:r>
    </w:p>
    <w:p>
      <w:pPr>
        <w:adjustRightInd w:val="0"/>
        <w:snapToGrid w:val="0"/>
        <w:spacing w:line="312" w:lineRule="auto"/>
        <w:ind w:firstLine="420" w:firstLineChars="200"/>
        <w:rPr>
          <w:rFonts w:hint="eastAsia" w:ascii="仿宋" w:hAnsi="仿宋" w:eastAsia="仿宋"/>
        </w:rPr>
      </w:pPr>
      <w:r>
        <w:rPr>
          <w:rFonts w:ascii="仿宋" w:hAnsi="仿宋" w:eastAsia="仿宋"/>
        </w:rPr>
        <w:t>（一）第一类资产公司：集团超额资本、资本充足率、一级资本充足率和核心一级资本充足率均达到本办法规定的各级资本要求。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（二）第二类资产公司：集团超额资本、资本充足率、一级资本充足率或核心一级资本充足率均不低于最低资本要求，但未达到附加资本要求。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（三）第三类资产公司：集团超额资本、资本充足率、一级资本充足率和核心一级资本充足率任意一项未达到最低资本要求。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第七十一条</w:t>
      </w:r>
      <w:r>
        <w:rPr>
          <w:rFonts w:ascii="仿宋" w:hAnsi="仿宋" w:eastAsia="仿宋"/>
        </w:rPr>
        <w:t>　对第一类资产公司，国务院银行业监督管理机构支持其稳健发展业务。为防止其资本充足水平快速下降，国务院银行业监督管理机构可以采取下列预警监管措施：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（一）要求资产公司加强对资本充足水平下降原因的分析及预测。</w:t>
      </w:r>
    </w:p>
    <w:p>
      <w:pPr>
        <w:adjustRightInd w:val="0"/>
        <w:snapToGrid w:val="0"/>
        <w:spacing w:line="312" w:lineRule="auto"/>
        <w:ind w:firstLine="420" w:firstLineChars="200"/>
        <w:rPr>
          <w:rFonts w:hint="eastAsia" w:ascii="仿宋" w:hAnsi="仿宋" w:eastAsia="仿宋"/>
        </w:rPr>
      </w:pPr>
      <w:r>
        <w:rPr>
          <w:rFonts w:ascii="仿宋" w:hAnsi="仿宋" w:eastAsia="仿宋"/>
        </w:rPr>
        <w:t>（二）要求资产公司制定切实可行的资本充足性管理计划。</w:t>
      </w:r>
    </w:p>
    <w:p>
      <w:pPr>
        <w:adjustRightInd w:val="0"/>
        <w:snapToGrid w:val="0"/>
        <w:spacing w:line="312" w:lineRule="auto"/>
        <w:ind w:firstLine="420" w:firstLineChars="200"/>
        <w:rPr>
          <w:rFonts w:hint="eastAsia" w:ascii="仿宋" w:hAnsi="仿宋" w:eastAsia="仿宋"/>
        </w:rPr>
      </w:pPr>
      <w:r>
        <w:rPr>
          <w:rFonts w:ascii="仿宋" w:hAnsi="仿宋" w:eastAsia="仿宋"/>
        </w:rPr>
        <w:t>（三）要求资产公司提高风险控制能力。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第七十二条</w:t>
      </w:r>
      <w:r>
        <w:rPr>
          <w:rFonts w:ascii="仿宋" w:hAnsi="仿宋" w:eastAsia="仿宋"/>
        </w:rPr>
        <w:t>　对第二类资产公司，除本办法</w:t>
      </w:r>
      <w:r>
        <w:rPr>
          <w:rFonts w:ascii="仿宋" w:hAnsi="仿宋" w:eastAsia="仿宋"/>
          <w:b/>
        </w:rPr>
        <w:t>第七十一条</w:t>
      </w:r>
      <w:r>
        <w:rPr>
          <w:rFonts w:ascii="仿宋" w:hAnsi="仿宋" w:eastAsia="仿宋"/>
        </w:rPr>
        <w:t>规定的监管措施外，国务院银行业监督管理机构还可以采取下列监管措施：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（一）与集团母公司董事会、高级管理层进行审慎性会谈。</w:t>
      </w:r>
    </w:p>
    <w:p>
      <w:pPr>
        <w:adjustRightInd w:val="0"/>
        <w:snapToGrid w:val="0"/>
        <w:spacing w:line="312" w:lineRule="auto"/>
        <w:ind w:firstLine="420" w:firstLineChars="200"/>
        <w:rPr>
          <w:rFonts w:hint="eastAsia" w:ascii="仿宋" w:hAnsi="仿宋" w:eastAsia="仿宋"/>
        </w:rPr>
      </w:pPr>
      <w:r>
        <w:rPr>
          <w:rFonts w:ascii="仿宋" w:hAnsi="仿宋" w:eastAsia="仿宋"/>
        </w:rPr>
        <w:t>（二）印发监管意见书，内容包括：集团资本管理存在的问题、拟采取的纠正措施和限期达标意见等。</w:t>
      </w:r>
    </w:p>
    <w:p>
      <w:pPr>
        <w:adjustRightInd w:val="0"/>
        <w:snapToGrid w:val="0"/>
        <w:spacing w:line="312" w:lineRule="auto"/>
        <w:ind w:firstLine="420" w:firstLineChars="200"/>
        <w:rPr>
          <w:rFonts w:hint="eastAsia" w:ascii="仿宋" w:hAnsi="仿宋" w:eastAsia="仿宋"/>
        </w:rPr>
      </w:pPr>
      <w:r>
        <w:rPr>
          <w:rFonts w:ascii="仿宋" w:hAnsi="仿宋" w:eastAsia="仿宋"/>
        </w:rPr>
        <w:t>（三）要求集团母公司制定切实可行的资本补充计划和限期达标计划。</w:t>
      </w:r>
    </w:p>
    <w:p>
      <w:pPr>
        <w:adjustRightInd w:val="0"/>
        <w:snapToGrid w:val="0"/>
        <w:spacing w:line="312" w:lineRule="auto"/>
        <w:ind w:firstLine="420" w:firstLineChars="200"/>
        <w:rPr>
          <w:rFonts w:hint="eastAsia" w:ascii="仿宋" w:hAnsi="仿宋" w:eastAsia="仿宋"/>
        </w:rPr>
      </w:pPr>
      <w:r>
        <w:rPr>
          <w:rFonts w:ascii="仿宋" w:hAnsi="仿宋" w:eastAsia="仿宋"/>
        </w:rPr>
        <w:t>（四）督促集团母公司对附属机构资本充足状况进行排查，督促资本不足的附属机构尽快提升资本水平。</w:t>
      </w:r>
    </w:p>
    <w:p>
      <w:pPr>
        <w:adjustRightInd w:val="0"/>
        <w:snapToGrid w:val="0"/>
        <w:spacing w:line="312" w:lineRule="auto"/>
        <w:ind w:firstLine="420" w:firstLineChars="200"/>
        <w:rPr>
          <w:rFonts w:hint="eastAsia" w:ascii="仿宋" w:hAnsi="仿宋" w:eastAsia="仿宋"/>
        </w:rPr>
      </w:pPr>
      <w:r>
        <w:rPr>
          <w:rFonts w:ascii="仿宋" w:hAnsi="仿宋" w:eastAsia="仿宋"/>
        </w:rPr>
        <w:t>（五）提高对集团资本充足性的非现场监管和现场检查频率。</w:t>
      </w:r>
    </w:p>
    <w:p>
      <w:pPr>
        <w:adjustRightInd w:val="0"/>
        <w:snapToGrid w:val="0"/>
        <w:spacing w:line="312" w:lineRule="auto"/>
        <w:ind w:firstLine="420" w:firstLineChars="200"/>
        <w:rPr>
          <w:rFonts w:hint="eastAsia" w:ascii="仿宋" w:hAnsi="仿宋" w:eastAsia="仿宋"/>
        </w:rPr>
      </w:pPr>
      <w:r>
        <w:rPr>
          <w:rFonts w:ascii="仿宋" w:hAnsi="仿宋" w:eastAsia="仿宋"/>
        </w:rPr>
        <w:t>（六）要求集团母公司对特定风险领域采取风险缓释措施。</w:t>
      </w:r>
    </w:p>
    <w:p>
      <w:pPr>
        <w:adjustRightInd w:val="0"/>
        <w:snapToGrid w:val="0"/>
        <w:spacing w:line="312" w:lineRule="auto"/>
        <w:ind w:firstLine="420" w:firstLineChars="200"/>
        <w:rPr>
          <w:rFonts w:hint="eastAsia" w:ascii="仿宋" w:hAnsi="仿宋" w:eastAsia="仿宋"/>
        </w:rPr>
      </w:pPr>
      <w:r>
        <w:rPr>
          <w:rFonts w:ascii="仿宋" w:hAnsi="仿宋" w:eastAsia="仿宋"/>
        </w:rPr>
        <w:t>（七）限制集团分配红利和其他收入。</w:t>
      </w:r>
    </w:p>
    <w:p>
      <w:pPr>
        <w:adjustRightInd w:val="0"/>
        <w:snapToGrid w:val="0"/>
        <w:spacing w:line="312" w:lineRule="auto"/>
        <w:ind w:firstLine="420" w:firstLineChars="200"/>
        <w:rPr>
          <w:rFonts w:hint="eastAsia" w:ascii="仿宋" w:hAnsi="仿宋" w:eastAsia="仿宋"/>
        </w:rPr>
      </w:pPr>
      <w:r>
        <w:rPr>
          <w:rFonts w:ascii="仿宋" w:hAnsi="仿宋" w:eastAsia="仿宋"/>
        </w:rPr>
        <w:t>（八）限制集团向董事、高级管理人员实施任何形式的激励。</w:t>
      </w:r>
    </w:p>
    <w:p>
      <w:pPr>
        <w:adjustRightInd w:val="0"/>
        <w:snapToGrid w:val="0"/>
        <w:spacing w:line="312" w:lineRule="auto"/>
        <w:ind w:firstLine="420" w:firstLineChars="200"/>
        <w:rPr>
          <w:rFonts w:hint="eastAsia" w:ascii="仿宋" w:hAnsi="仿宋" w:eastAsia="仿宋"/>
        </w:rPr>
      </w:pPr>
      <w:r>
        <w:rPr>
          <w:rFonts w:ascii="仿宋" w:hAnsi="仿宋" w:eastAsia="仿宋"/>
        </w:rPr>
        <w:t>（九）限制集团进行股权投资或回购资本工具。</w:t>
      </w:r>
    </w:p>
    <w:p>
      <w:pPr>
        <w:adjustRightInd w:val="0"/>
        <w:snapToGrid w:val="0"/>
        <w:spacing w:line="312" w:lineRule="auto"/>
        <w:ind w:firstLine="420" w:firstLineChars="200"/>
        <w:rPr>
          <w:rFonts w:hint="eastAsia" w:ascii="仿宋" w:hAnsi="仿宋" w:eastAsia="仿宋"/>
        </w:rPr>
      </w:pPr>
      <w:r>
        <w:rPr>
          <w:rFonts w:ascii="仿宋" w:hAnsi="仿宋" w:eastAsia="仿宋"/>
        </w:rPr>
        <w:t>（十）限制集团重要资本性支出。</w:t>
      </w:r>
    </w:p>
    <w:p>
      <w:pPr>
        <w:adjustRightInd w:val="0"/>
        <w:snapToGrid w:val="0"/>
        <w:spacing w:line="312" w:lineRule="auto"/>
        <w:ind w:firstLine="420" w:firstLineChars="200"/>
        <w:rPr>
          <w:rFonts w:hint="eastAsia" w:ascii="仿宋" w:hAnsi="仿宋" w:eastAsia="仿宋"/>
        </w:rPr>
      </w:pPr>
      <w:r>
        <w:rPr>
          <w:rFonts w:ascii="仿宋" w:hAnsi="仿宋" w:eastAsia="仿宋"/>
        </w:rPr>
        <w:t>（十一）要求集团控制风险资产增长。</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第七十三条</w:t>
      </w:r>
      <w:r>
        <w:rPr>
          <w:rFonts w:ascii="仿宋" w:hAnsi="仿宋" w:eastAsia="仿宋"/>
        </w:rPr>
        <w:t>　对第三类资产公司，除本办法</w:t>
      </w:r>
      <w:r>
        <w:rPr>
          <w:rFonts w:ascii="仿宋" w:hAnsi="仿宋" w:eastAsia="仿宋"/>
          <w:b/>
        </w:rPr>
        <w:t>第七十一条</w:t>
      </w:r>
      <w:r>
        <w:rPr>
          <w:rFonts w:ascii="仿宋" w:hAnsi="仿宋" w:eastAsia="仿宋"/>
        </w:rPr>
        <w:t>和</w:t>
      </w:r>
      <w:r>
        <w:rPr>
          <w:rFonts w:ascii="仿宋" w:hAnsi="仿宋" w:eastAsia="仿宋"/>
          <w:b/>
        </w:rPr>
        <w:t>第七十二条</w:t>
      </w:r>
      <w:r>
        <w:rPr>
          <w:rFonts w:ascii="仿宋" w:hAnsi="仿宋" w:eastAsia="仿宋"/>
        </w:rPr>
        <w:t>规定的监管措施外，国务院银行业监督管理机构还可以采取以下监管措施：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（一）要求集团大幅降低风险资产的规模。</w:t>
      </w:r>
    </w:p>
    <w:p>
      <w:pPr>
        <w:adjustRightInd w:val="0"/>
        <w:snapToGrid w:val="0"/>
        <w:spacing w:line="312" w:lineRule="auto"/>
        <w:ind w:firstLine="420" w:firstLineChars="200"/>
        <w:rPr>
          <w:rFonts w:hint="eastAsia" w:ascii="仿宋" w:hAnsi="仿宋" w:eastAsia="仿宋"/>
        </w:rPr>
      </w:pPr>
      <w:r>
        <w:rPr>
          <w:rFonts w:ascii="仿宋" w:hAnsi="仿宋" w:eastAsia="仿宋"/>
        </w:rPr>
        <w:t>（二）责令集团停办全部高风险资产业务。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（三）限制或禁止新设机构、开办新业务。</w:t>
      </w:r>
    </w:p>
    <w:p>
      <w:pPr>
        <w:adjustRightInd w:val="0"/>
        <w:snapToGrid w:val="0"/>
        <w:spacing w:line="312" w:lineRule="auto"/>
        <w:ind w:firstLine="420" w:firstLineChars="200"/>
        <w:rPr>
          <w:rFonts w:hint="eastAsia" w:ascii="仿宋" w:hAnsi="仿宋" w:eastAsia="仿宋"/>
        </w:rPr>
      </w:pPr>
      <w:r>
        <w:rPr>
          <w:rFonts w:ascii="仿宋" w:hAnsi="仿宋" w:eastAsia="仿宋"/>
        </w:rPr>
        <w:t>（四）责令集团对附属机构进行清理整合，调整附属机构股权结构或转让资产。</w:t>
      </w:r>
    </w:p>
    <w:p>
      <w:pPr>
        <w:adjustRightInd w:val="0"/>
        <w:snapToGrid w:val="0"/>
        <w:spacing w:line="312" w:lineRule="auto"/>
        <w:ind w:firstLine="420" w:firstLineChars="200"/>
        <w:rPr>
          <w:rFonts w:hint="eastAsia" w:ascii="仿宋" w:hAnsi="仿宋" w:eastAsia="仿宋"/>
        </w:rPr>
      </w:pPr>
      <w:r>
        <w:rPr>
          <w:rFonts w:ascii="仿宋" w:hAnsi="仿宋" w:eastAsia="仿宋"/>
        </w:rPr>
        <w:t>（五）强制要求集团对非普通股的其他各级资本工具进行减记或转为普通股。</w:t>
      </w:r>
    </w:p>
    <w:p>
      <w:pPr>
        <w:adjustRightInd w:val="0"/>
        <w:snapToGrid w:val="0"/>
        <w:spacing w:line="312" w:lineRule="auto"/>
        <w:ind w:firstLine="420" w:firstLineChars="200"/>
        <w:rPr>
          <w:rFonts w:hint="eastAsia" w:ascii="仿宋" w:hAnsi="仿宋" w:eastAsia="仿宋"/>
        </w:rPr>
      </w:pPr>
      <w:r>
        <w:rPr>
          <w:rFonts w:ascii="仿宋" w:hAnsi="仿宋" w:eastAsia="仿宋"/>
        </w:rPr>
        <w:t>（六）责令集团母公司调整董事、高级管理人员或限制其权利。</w:t>
      </w:r>
    </w:p>
    <w:p>
      <w:pPr>
        <w:adjustRightInd w:val="0"/>
        <w:snapToGrid w:val="0"/>
        <w:spacing w:line="312" w:lineRule="auto"/>
        <w:ind w:firstLine="420" w:firstLineChars="200"/>
        <w:rPr>
          <w:rFonts w:hint="eastAsia" w:ascii="仿宋" w:hAnsi="仿宋" w:eastAsia="仿宋"/>
        </w:rPr>
      </w:pPr>
      <w:r>
        <w:rPr>
          <w:rFonts w:ascii="仿宋" w:hAnsi="仿宋" w:eastAsia="仿宋"/>
        </w:rPr>
        <w:t>（七）依法对集团母公司实行接管或者促成机构重组，直至予以撤销。</w:t>
      </w:r>
    </w:p>
    <w:p>
      <w:pPr>
        <w:adjustRightInd w:val="0"/>
        <w:snapToGrid w:val="0"/>
        <w:spacing w:line="312" w:lineRule="auto"/>
        <w:ind w:firstLine="420" w:firstLineChars="200"/>
        <w:rPr>
          <w:rFonts w:hint="eastAsia" w:ascii="仿宋" w:hAnsi="仿宋" w:eastAsia="仿宋"/>
        </w:rPr>
      </w:pPr>
      <w:r>
        <w:rPr>
          <w:rFonts w:ascii="仿宋" w:hAnsi="仿宋" w:eastAsia="仿宋"/>
        </w:rPr>
        <w:t>在处置此类资产公司时，国务院银行业监督管理机构还可以综合考虑外部因素，采取其他必要措施。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第七十四条</w:t>
      </w:r>
      <w:r>
        <w:rPr>
          <w:rFonts w:ascii="仿宋" w:hAnsi="仿宋" w:eastAsia="仿宋"/>
        </w:rPr>
        <w:t>　对于杠杆率低于最低监管要求的集团母公司，国务院银行业监督管理机构可以采取以下监管措施：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（一）要求集团母公司在限定期限内补充一级资本。</w:t>
      </w:r>
    </w:p>
    <w:p>
      <w:pPr>
        <w:adjustRightInd w:val="0"/>
        <w:snapToGrid w:val="0"/>
        <w:spacing w:line="312" w:lineRule="auto"/>
        <w:ind w:firstLine="420" w:firstLineChars="200"/>
        <w:rPr>
          <w:rFonts w:hint="eastAsia" w:ascii="仿宋" w:hAnsi="仿宋" w:eastAsia="仿宋"/>
        </w:rPr>
      </w:pPr>
      <w:r>
        <w:rPr>
          <w:rFonts w:ascii="仿宋" w:hAnsi="仿宋" w:eastAsia="仿宋"/>
        </w:rPr>
        <w:t>（二）要求集团母公司控制表内外资产增长速度。</w:t>
      </w:r>
    </w:p>
    <w:p>
      <w:pPr>
        <w:adjustRightInd w:val="0"/>
        <w:snapToGrid w:val="0"/>
        <w:spacing w:line="312" w:lineRule="auto"/>
        <w:ind w:firstLine="420" w:firstLineChars="200"/>
        <w:rPr>
          <w:rFonts w:hint="eastAsia" w:ascii="仿宋" w:hAnsi="仿宋" w:eastAsia="仿宋"/>
        </w:rPr>
      </w:pPr>
      <w:r>
        <w:rPr>
          <w:rFonts w:ascii="仿宋" w:hAnsi="仿宋" w:eastAsia="仿宋"/>
        </w:rPr>
        <w:t>（三）要求集团母公司降低表内外资产规模。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第七十五条</w:t>
      </w:r>
      <w:r>
        <w:rPr>
          <w:rFonts w:ascii="仿宋" w:hAnsi="仿宋" w:eastAsia="仿宋"/>
        </w:rPr>
        <w:t>　对于集团财务杠杆率低于最低监管要求的集团，国务院银行业监督管理机构可以采取以下监管措施：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（一）要求集团在限定期限内补充合格资本。</w:t>
      </w:r>
    </w:p>
    <w:p>
      <w:pPr>
        <w:adjustRightInd w:val="0"/>
        <w:snapToGrid w:val="0"/>
        <w:spacing w:line="312" w:lineRule="auto"/>
        <w:ind w:firstLine="420" w:firstLineChars="200"/>
        <w:rPr>
          <w:rFonts w:hint="eastAsia" w:ascii="仿宋" w:hAnsi="仿宋" w:eastAsia="仿宋"/>
        </w:rPr>
      </w:pPr>
      <w:r>
        <w:rPr>
          <w:rFonts w:ascii="仿宋" w:hAnsi="仿宋" w:eastAsia="仿宋"/>
        </w:rPr>
        <w:t>（二）要求集团控制表内外资产增长速度。</w:t>
      </w:r>
    </w:p>
    <w:p>
      <w:pPr>
        <w:adjustRightInd w:val="0"/>
        <w:snapToGrid w:val="0"/>
        <w:spacing w:line="312" w:lineRule="auto"/>
        <w:ind w:firstLine="420" w:firstLineChars="200"/>
        <w:rPr>
          <w:rFonts w:hint="eastAsia" w:ascii="仿宋" w:hAnsi="仿宋" w:eastAsia="仿宋"/>
        </w:rPr>
      </w:pPr>
      <w:r>
        <w:rPr>
          <w:rFonts w:ascii="仿宋" w:hAnsi="仿宋" w:eastAsia="仿宋"/>
        </w:rPr>
        <w:t>（三）要求集团降低表内外资产规模。</w:t>
      </w:r>
    </w:p>
    <w:p>
      <w:pPr>
        <w:adjustRightInd w:val="0"/>
        <w:snapToGrid w:val="0"/>
        <w:spacing w:line="312" w:lineRule="auto"/>
        <w:ind w:firstLine="420" w:firstLineChars="200"/>
        <w:rPr>
          <w:rFonts w:hint="eastAsia" w:ascii="仿宋" w:hAnsi="仿宋" w:eastAsia="仿宋"/>
        </w:rPr>
      </w:pPr>
      <w:r>
        <w:rPr>
          <w:rFonts w:ascii="仿宋" w:hAnsi="仿宋" w:eastAsia="仿宋"/>
        </w:rPr>
        <w:t>（四）限制或禁止新设机构、开办新业务。</w:t>
      </w:r>
    </w:p>
    <w:p>
      <w:pPr>
        <w:adjustRightInd w:val="0"/>
        <w:snapToGrid w:val="0"/>
        <w:spacing w:line="312" w:lineRule="auto"/>
        <w:ind w:firstLine="420" w:firstLineChars="200"/>
        <w:rPr>
          <w:rFonts w:hint="eastAsia" w:ascii="仿宋" w:hAnsi="仿宋" w:eastAsia="仿宋"/>
        </w:rPr>
      </w:pPr>
      <w:r>
        <w:rPr>
          <w:rFonts w:ascii="仿宋" w:hAnsi="仿宋" w:eastAsia="仿宋"/>
        </w:rPr>
        <w:t>（五）责令集团对附属机构进行清理整合，调整附属机构股权结构或转让资产。</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信息披露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第七十六条</w:t>
      </w:r>
      <w:r>
        <w:rPr>
          <w:rFonts w:ascii="仿宋" w:hAnsi="仿宋" w:eastAsia="仿宋"/>
        </w:rPr>
        <w:t>　集团母公司应当通过公开渠道，向投资者和社会公众披露相关信息，确保信息披露的集中性、可访问性和公开性。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第七十七条</w:t>
      </w:r>
      <w:r>
        <w:rPr>
          <w:rFonts w:ascii="仿宋" w:hAnsi="仿宋" w:eastAsia="仿宋"/>
        </w:rPr>
        <w:t>　集团母公司信息披露频率分为临时、半年及年度披露。其中，临时信息应及时披露，半年度信息披露时间为期末后60个工作日内，年度信息披露时间为会计年度终了后四个月内。因特殊原因不能按时披露的，应至少提前15个工作日向国务院银行业监督管理机构申请延迟披露。</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第七十八条</w:t>
      </w:r>
      <w:r>
        <w:rPr>
          <w:rFonts w:ascii="仿宋" w:hAnsi="仿宋" w:eastAsia="仿宋"/>
        </w:rPr>
        <w:t>　集团母公司应当分别按照以下频率披露相关信息：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（一）实收资本或普通股及其他资本工具的变化情况应及时披露。</w:t>
      </w:r>
    </w:p>
    <w:p>
      <w:pPr>
        <w:adjustRightInd w:val="0"/>
        <w:snapToGrid w:val="0"/>
        <w:spacing w:line="312" w:lineRule="auto"/>
        <w:ind w:firstLine="420" w:firstLineChars="200"/>
        <w:rPr>
          <w:rFonts w:hint="eastAsia" w:ascii="仿宋" w:hAnsi="仿宋" w:eastAsia="仿宋"/>
        </w:rPr>
      </w:pPr>
      <w:r>
        <w:rPr>
          <w:rFonts w:ascii="仿宋" w:hAnsi="仿宋" w:eastAsia="仿宋"/>
        </w:rPr>
        <w:t>（二）核心一级资本净额、一级资本净额、资本净额、最低资本要求、附加资本要求、核心一级资本充足率、一级资本充足率、资本充足率、集团合格资本、集团最低资本要求、集团超额资本、杠杆率、集团财务杠杆率等重要信息应每半年披露一次。</w:t>
      </w:r>
    </w:p>
    <w:p>
      <w:pPr>
        <w:adjustRightInd w:val="0"/>
        <w:snapToGrid w:val="0"/>
        <w:spacing w:line="312" w:lineRule="auto"/>
        <w:ind w:firstLine="420" w:firstLineChars="200"/>
        <w:rPr>
          <w:rFonts w:hint="eastAsia" w:ascii="仿宋" w:hAnsi="仿宋" w:eastAsia="仿宋"/>
        </w:rPr>
      </w:pPr>
      <w:r>
        <w:rPr>
          <w:rFonts w:ascii="仿宋" w:hAnsi="仿宋" w:eastAsia="仿宋"/>
        </w:rPr>
        <w:t>（三）资本充足性相关指标的计算范围、信用风险暴露总额、逾期及不良资产总额、信用风险资产减值准备、信用风险资产组合缓释后风险暴露余额、资产证券化风险暴露余额、市场风险资本要求、市场风险期末风险价值及平均风险价值、操作风险情况、股权投资及其损益、非交易账簿利率风险情况等相关重要信息应每年披露一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第七十九条</w:t>
      </w:r>
      <w:r>
        <w:rPr>
          <w:rFonts w:ascii="仿宋" w:hAnsi="仿宋" w:eastAsia="仿宋"/>
        </w:rPr>
        <w:t>　经国务院银行业监督管理机构同意，在满足信息披露总体要求的基础上，未在境内外上市的集团母公司可以适当简化信息披露内容。</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第八十条</w:t>
      </w:r>
      <w:r>
        <w:rPr>
          <w:rFonts w:ascii="仿宋" w:hAnsi="仿宋" w:eastAsia="仿宋"/>
        </w:rPr>
        <w:t>　本办法未尽事宜，资产公司应当参照国务院银行业监督管理机构关于商业银行资本监管的相关规定执行。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第八十一条</w:t>
      </w:r>
      <w:r>
        <w:rPr>
          <w:rFonts w:ascii="仿宋" w:hAnsi="仿宋" w:eastAsia="仿宋"/>
        </w:rPr>
        <w:t>　资产公司应当在2020年底前达到本办法规定的集团超额资本和集团财务杠杆率监管指标要求，鼓励有条件的资产公司提前达标。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第八十二条</w:t>
      </w:r>
      <w:r>
        <w:rPr>
          <w:rFonts w:ascii="仿宋" w:hAnsi="仿宋" w:eastAsia="仿宋"/>
        </w:rPr>
        <w:t>　集团母公司应当根据本办法制定资本充足性指标计算的内部制度。集团母公司调整本办法规定的资本充足性相关指标计算范围的，应当说明理由，并及时报国务院银行业监督管理机构备案。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第八十三条</w:t>
      </w:r>
      <w:r>
        <w:rPr>
          <w:rFonts w:ascii="仿宋" w:hAnsi="仿宋" w:eastAsia="仿宋"/>
        </w:rPr>
        <w:t>　本办法由国务院银行业监督管理机构负责解释。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第八十四条</w:t>
      </w:r>
      <w:r>
        <w:rPr>
          <w:rFonts w:ascii="仿宋" w:hAnsi="仿宋" w:eastAsia="仿宋"/>
        </w:rPr>
        <w:t>　本办法自2018年1月1日起施行。</w:t>
      </w:r>
    </w:p>
    <w:p>
      <w:pPr>
        <w:adjustRightInd w:val="0"/>
        <w:snapToGrid w:val="0"/>
        <w:spacing w:line="312" w:lineRule="auto"/>
        <w:ind w:firstLine="420" w:firstLineChars="200"/>
        <w:rPr>
          <w:rFonts w:hint="eastAsia" w:ascii="仿宋" w:hAnsi="仿宋" w:eastAsia="仿宋"/>
        </w:rPr>
      </w:pPr>
      <w:r>
        <w:rPr>
          <w:rFonts w:ascii="仿宋" w:hAnsi="仿宋" w:eastAsia="仿宋"/>
        </w:rPr>
        <w:t xml:space="preserve">附件： </w:t>
      </w:r>
    </w:p>
    <w:p>
      <w:pPr>
        <w:adjustRightInd w:val="0"/>
        <w:snapToGrid w:val="0"/>
        <w:spacing w:line="312" w:lineRule="auto"/>
        <w:ind w:firstLine="420" w:firstLineChars="200"/>
        <w:rPr>
          <w:rFonts w:hint="eastAsia" w:ascii="仿宋" w:hAnsi="仿宋" w:eastAsia="仿宋"/>
        </w:rPr>
      </w:pPr>
      <w:r>
        <w:rPr>
          <w:rFonts w:ascii="仿宋" w:hAnsi="仿宋" w:eastAsia="仿宋"/>
        </w:rPr>
        <w:t>附件1：表内资产风险权重、表外项目信用转换系数及合格信用风险缓释工具</w:t>
      </w:r>
    </w:p>
    <w:p>
      <w:pPr>
        <w:adjustRightInd w:val="0"/>
        <w:snapToGrid w:val="0"/>
        <w:spacing w:line="312" w:lineRule="auto"/>
        <w:ind w:firstLine="420" w:firstLineChars="200"/>
        <w:rPr>
          <w:rFonts w:hint="eastAsia" w:ascii="仿宋" w:hAnsi="仿宋" w:eastAsia="仿宋"/>
        </w:rPr>
      </w:pPr>
      <w:r>
        <w:rPr>
          <w:rFonts w:ascii="仿宋" w:hAnsi="仿宋" w:eastAsia="仿宋"/>
        </w:rPr>
        <w:t>附件2：资产证券化风险加权资产计量规则</w:t>
      </w:r>
    </w:p>
    <w:p>
      <w:pPr>
        <w:adjustRightInd w:val="0"/>
        <w:snapToGrid w:val="0"/>
        <w:spacing w:line="312" w:lineRule="auto"/>
        <w:ind w:firstLine="420" w:firstLineChars="200"/>
        <w:rPr>
          <w:rFonts w:hint="eastAsia" w:ascii="仿宋" w:hAnsi="仿宋" w:eastAsia="仿宋"/>
        </w:rPr>
      </w:pPr>
      <w:r>
        <w:rPr>
          <w:rFonts w:ascii="仿宋" w:hAnsi="仿宋" w:eastAsia="仿宋"/>
        </w:rPr>
        <w:t>附件3：市场风险标准法计量规则</w:t>
      </w:r>
    </w:p>
    <w:p>
      <w:pPr>
        <w:adjustRightInd w:val="0"/>
        <w:snapToGrid w:val="0"/>
        <w:spacing w:line="312" w:lineRule="auto"/>
        <w:ind w:firstLine="420" w:firstLineChars="200"/>
        <w:rPr>
          <w:rFonts w:hint="eastAsia" w:ascii="仿宋" w:hAnsi="仿宋" w:eastAsia="仿宋"/>
        </w:rPr>
      </w:pPr>
      <w:r>
        <w:rPr>
          <w:rFonts w:ascii="仿宋" w:hAnsi="仿宋" w:eastAsia="仿宋"/>
        </w:rPr>
        <w:t>附件4：操作风险基本指标法计量规则</w:t>
      </w:r>
    </w:p>
    <w:p>
      <w:pPr>
        <w:rPr>
          <w:rFonts w:hint="eastAsia" w:ascii="仿宋" w:hAnsi="仿宋" w:eastAsia="仿宋"/>
          <w:b/>
          <w:szCs w:val="21"/>
        </w:rPr>
      </w:pPr>
      <w:r>
        <w:rPr>
          <w:rFonts w:ascii="仿宋" w:hAnsi="仿宋" w:eastAsia="仿宋"/>
        </w:rPr>
        <w:br w:type="page"/>
      </w:r>
      <w:r>
        <w:rPr>
          <w:rFonts w:ascii="仿宋" w:hAnsi="仿宋" w:eastAsia="仿宋"/>
          <w:b/>
          <w:szCs w:val="21"/>
        </w:rPr>
        <w:t>附件</w:t>
      </w:r>
      <w:r>
        <w:rPr>
          <w:rFonts w:hint="eastAsia" w:ascii="仿宋" w:hAnsi="仿宋" w:eastAsia="仿宋"/>
          <w:b/>
          <w:szCs w:val="21"/>
        </w:rPr>
        <w:t>1</w:t>
      </w:r>
      <w:r>
        <w:rPr>
          <w:rFonts w:ascii="仿宋" w:hAnsi="仿宋" w:eastAsia="仿宋"/>
          <w:b/>
          <w:szCs w:val="21"/>
        </w:rPr>
        <w:t xml:space="preserve"> </w:t>
      </w:r>
    </w:p>
    <w:p>
      <w:pPr>
        <w:rPr>
          <w:rFonts w:hint="eastAsia" w:ascii="仿宋" w:hAnsi="仿宋" w:eastAsia="仿宋"/>
          <w:b/>
          <w:szCs w:val="21"/>
        </w:rPr>
      </w:pPr>
    </w:p>
    <w:p>
      <w:pPr>
        <w:jc w:val="center"/>
        <w:rPr>
          <w:rFonts w:hint="eastAsia" w:ascii="仿宋" w:hAnsi="仿宋" w:eastAsia="仿宋"/>
          <w:bCs/>
          <w:szCs w:val="21"/>
        </w:rPr>
      </w:pPr>
      <w:r>
        <w:rPr>
          <w:rFonts w:ascii="仿宋" w:hAnsi="仿宋" w:eastAsia="仿宋"/>
          <w:bCs/>
          <w:szCs w:val="21"/>
        </w:rPr>
        <w:t>表内资产风险权重、表外项目</w:t>
      </w:r>
    </w:p>
    <w:p>
      <w:pPr>
        <w:jc w:val="center"/>
        <w:rPr>
          <w:rFonts w:hint="eastAsia" w:ascii="仿宋" w:hAnsi="仿宋" w:eastAsia="仿宋"/>
          <w:b/>
          <w:szCs w:val="21"/>
        </w:rPr>
      </w:pPr>
      <w:r>
        <w:rPr>
          <w:rFonts w:ascii="仿宋" w:hAnsi="仿宋" w:eastAsia="仿宋"/>
          <w:bCs/>
          <w:szCs w:val="21"/>
        </w:rPr>
        <w:t>信用转换系数及合格信用风险缓释工具</w:t>
      </w:r>
    </w:p>
    <w:p>
      <w:pPr>
        <w:rPr>
          <w:rFonts w:hint="eastAsia" w:ascii="仿宋" w:hAnsi="仿宋" w:eastAsia="仿宋"/>
          <w:szCs w:val="21"/>
        </w:rPr>
      </w:pPr>
    </w:p>
    <w:p>
      <w:pPr>
        <w:rPr>
          <w:rFonts w:hint="eastAsia" w:ascii="仿宋" w:hAnsi="仿宋" w:eastAsia="仿宋"/>
          <w:b/>
          <w:szCs w:val="21"/>
        </w:rPr>
      </w:pPr>
      <w:r>
        <w:rPr>
          <w:rFonts w:ascii="仿宋" w:hAnsi="仿宋" w:eastAsia="仿宋"/>
          <w:bCs/>
          <w:szCs w:val="21"/>
        </w:rPr>
        <w:t xml:space="preserve">    一、表内资产风险权重</w:t>
      </w:r>
    </w:p>
    <w:p>
      <w:pPr>
        <w:jc w:val="center"/>
        <w:rPr>
          <w:rFonts w:hint="eastAsia" w:ascii="仿宋" w:hAnsi="仿宋" w:eastAsia="仿宋"/>
          <w:b/>
          <w:szCs w:val="21"/>
        </w:rPr>
      </w:pPr>
    </w:p>
    <w:p>
      <w:pPr>
        <w:jc w:val="center"/>
        <w:rPr>
          <w:rFonts w:hint="eastAsia" w:ascii="仿宋" w:hAnsi="仿宋" w:eastAsia="仿宋"/>
          <w:b/>
          <w:szCs w:val="21"/>
        </w:rPr>
      </w:pPr>
      <w:r>
        <w:rPr>
          <w:rFonts w:ascii="仿宋" w:hAnsi="仿宋" w:eastAsia="仿宋"/>
          <w:bCs/>
          <w:szCs w:val="21"/>
        </w:rPr>
        <w:t>表1：表内资产风险权重表</w:t>
      </w:r>
    </w:p>
    <w:tbl>
      <w:tblPr>
        <w:tblStyle w:val="42"/>
        <w:tblW w:w="8984" w:type="dxa"/>
        <w:jc w:val="center"/>
        <w:tblLayout w:type="fixed"/>
        <w:tblCellMar>
          <w:top w:w="0" w:type="dxa"/>
          <w:left w:w="0" w:type="dxa"/>
          <w:bottom w:w="0" w:type="dxa"/>
          <w:right w:w="0" w:type="dxa"/>
        </w:tblCellMar>
      </w:tblPr>
      <w:tblGrid>
        <w:gridCol w:w="8247"/>
        <w:gridCol w:w="737"/>
      </w:tblGrid>
      <w:tr>
        <w:tblPrEx>
          <w:tblCellMar>
            <w:top w:w="0" w:type="dxa"/>
            <w:left w:w="0" w:type="dxa"/>
            <w:bottom w:w="0" w:type="dxa"/>
            <w:right w:w="0" w:type="dxa"/>
          </w:tblCellMar>
        </w:tblPrEx>
        <w:trPr>
          <w:trHeight w:val="397" w:hRule="exact"/>
          <w:tblHeader/>
          <w:jc w:val="center"/>
        </w:trPr>
        <w:tc>
          <w:tcPr>
            <w:tcW w:w="8247" w:type="dxa"/>
            <w:tcBorders>
              <w:top w:val="single" w:color="auto" w:sz="8"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bCs/>
                <w:szCs w:val="21"/>
              </w:rPr>
            </w:pPr>
            <w:r>
              <w:rPr>
                <w:rFonts w:hint="eastAsia" w:ascii="仿宋" w:hAnsi="仿宋" w:eastAsia="仿宋"/>
                <w:bCs/>
                <w:szCs w:val="21"/>
              </w:rPr>
              <w:t>项目</w:t>
            </w:r>
          </w:p>
        </w:tc>
        <w:tc>
          <w:tcPr>
            <w:tcW w:w="737" w:type="dxa"/>
            <w:tcBorders>
              <w:top w:val="single" w:color="auto" w:sz="8" w:space="0"/>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bCs/>
                <w:szCs w:val="21"/>
              </w:rPr>
            </w:pPr>
            <w:r>
              <w:rPr>
                <w:rFonts w:hint="eastAsia" w:ascii="仿宋" w:hAnsi="仿宋" w:eastAsia="仿宋"/>
                <w:bCs/>
                <w:szCs w:val="21"/>
              </w:rPr>
              <w:t>权重</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b/>
                <w:bCs/>
                <w:szCs w:val="21"/>
              </w:rPr>
            </w:pPr>
            <w:r>
              <w:rPr>
                <w:rFonts w:hint="eastAsia" w:ascii="仿宋" w:hAnsi="仿宋" w:eastAsia="仿宋"/>
                <w:b/>
                <w:bCs/>
                <w:szCs w:val="21"/>
              </w:rPr>
              <w:t>1.现金类资产</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6" w:leftChars="-95" w:hanging="3"/>
              <w:rPr>
                <w:rFonts w:hint="eastAsia" w:ascii="仿宋" w:hAnsi="仿宋" w:eastAsia="仿宋"/>
                <w:szCs w:val="21"/>
              </w:rPr>
            </w:pPr>
            <w:r>
              <w:rPr>
                <w:rFonts w:hint="eastAsia" w:ascii="仿宋" w:hAnsi="仿宋" w:eastAsia="仿宋"/>
                <w:szCs w:val="21"/>
              </w:rPr>
              <w:t>1.1现金</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1.2存放中国人民银行款项</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b/>
                <w:bCs/>
                <w:szCs w:val="21"/>
              </w:rPr>
            </w:pPr>
            <w:r>
              <w:rPr>
                <w:rFonts w:hint="eastAsia" w:ascii="仿宋" w:hAnsi="仿宋" w:eastAsia="仿宋"/>
                <w:b/>
                <w:bCs/>
                <w:szCs w:val="21"/>
              </w:rPr>
              <w:t>2.对中央政府和中央银行的债权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2.1对我国中央政府的债权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2.2对中国人民银行的债权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2.3对评级AA-（含AA-）以上的国家或地区的中央政府和中央银行的债权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0%</w:t>
            </w:r>
          </w:p>
        </w:tc>
      </w:tr>
      <w:tr>
        <w:tblPrEx>
          <w:tblCellMar>
            <w:top w:w="0" w:type="dxa"/>
            <w:left w:w="0" w:type="dxa"/>
            <w:bottom w:w="0" w:type="dxa"/>
            <w:right w:w="0" w:type="dxa"/>
          </w:tblCellMar>
        </w:tblPrEx>
        <w:trPr>
          <w:trHeight w:val="68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2.4对评级AA-以下，A-（含A-）以上的国家或地区的中央政府和中央银行的债权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20%</w:t>
            </w:r>
          </w:p>
        </w:tc>
      </w:tr>
      <w:tr>
        <w:tblPrEx>
          <w:tblCellMar>
            <w:top w:w="0" w:type="dxa"/>
            <w:left w:w="0" w:type="dxa"/>
            <w:bottom w:w="0" w:type="dxa"/>
            <w:right w:w="0" w:type="dxa"/>
          </w:tblCellMar>
        </w:tblPrEx>
        <w:trPr>
          <w:trHeight w:val="702"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2.5对评级A-以下，BBB-（含BBB-）以上的国家或地区的中央政府和中央银行的债权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50%</w:t>
            </w:r>
          </w:p>
        </w:tc>
      </w:tr>
      <w:tr>
        <w:tblPrEx>
          <w:tblCellMar>
            <w:top w:w="0" w:type="dxa"/>
            <w:left w:w="0" w:type="dxa"/>
            <w:bottom w:w="0" w:type="dxa"/>
            <w:right w:w="0" w:type="dxa"/>
          </w:tblCellMar>
        </w:tblPrEx>
        <w:trPr>
          <w:trHeight w:val="64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2.6对评级BBB-以下，B-（含B-）以上的国家或地区的中央政府和中央银行的债权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2.7对评级B-以下的国家或地区的中央政府和中央银行的债权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2.8对未评级的国家或地区的中央政府和中央银行的债权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b/>
                <w:bCs/>
                <w:szCs w:val="21"/>
              </w:rPr>
            </w:pPr>
            <w:r>
              <w:rPr>
                <w:rFonts w:hint="eastAsia" w:ascii="仿宋" w:hAnsi="仿宋" w:eastAsia="仿宋"/>
                <w:b/>
                <w:bCs/>
                <w:szCs w:val="21"/>
              </w:rPr>
              <w:t>3.对公共部门实体的债权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99" w:leftChars="95"/>
              <w:rPr>
                <w:rFonts w:hint="eastAsia" w:ascii="仿宋" w:hAnsi="仿宋" w:eastAsia="仿宋"/>
                <w:bCs/>
                <w:szCs w:val="21"/>
              </w:rPr>
            </w:pPr>
            <w:r>
              <w:rPr>
                <w:rFonts w:hint="eastAsia" w:ascii="仿宋" w:hAnsi="仿宋" w:eastAsia="仿宋"/>
                <w:bCs/>
                <w:szCs w:val="21"/>
              </w:rPr>
              <w:t>3.1对我国公共部门的债权（收入来源于中央财政）</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firstLine="411" w:firstLineChars="196"/>
              <w:rPr>
                <w:rFonts w:hint="eastAsia" w:ascii="仿宋" w:hAnsi="仿宋" w:eastAsia="仿宋"/>
                <w:bCs/>
                <w:szCs w:val="21"/>
              </w:rPr>
            </w:pPr>
            <w:r>
              <w:rPr>
                <w:rFonts w:hint="eastAsia" w:ascii="仿宋" w:hAnsi="仿宋" w:eastAsia="仿宋"/>
                <w:bCs/>
                <w:szCs w:val="21"/>
              </w:rPr>
              <w:t>3.1.1其中：对我国公共部门的贷款（收入来源于中央财政）</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bCs/>
                <w:szCs w:val="21"/>
              </w:rPr>
              <w:t>20%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firstLine="411" w:firstLineChars="196"/>
              <w:rPr>
                <w:rFonts w:hint="eastAsia" w:ascii="仿宋" w:hAnsi="仿宋" w:eastAsia="仿宋"/>
                <w:bCs/>
                <w:szCs w:val="21"/>
              </w:rPr>
            </w:pPr>
            <w:r>
              <w:rPr>
                <w:rFonts w:hint="eastAsia" w:ascii="仿宋" w:hAnsi="仿宋" w:eastAsia="仿宋"/>
                <w:bCs/>
                <w:szCs w:val="21"/>
              </w:rPr>
              <w:t>3.1.2其中：持有的我国公共部门发行的债券（收入来源于中央财政）</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bCs/>
                <w:szCs w:val="21"/>
              </w:rPr>
              <w:t>20%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78" w:leftChars="85"/>
              <w:rPr>
                <w:rFonts w:hint="eastAsia" w:ascii="仿宋" w:hAnsi="仿宋" w:eastAsia="仿宋"/>
                <w:bCs/>
                <w:szCs w:val="21"/>
              </w:rPr>
            </w:pPr>
            <w:r>
              <w:rPr>
                <w:rFonts w:hint="eastAsia" w:ascii="仿宋" w:hAnsi="仿宋" w:eastAsia="仿宋"/>
                <w:bCs/>
                <w:szCs w:val="21"/>
              </w:rPr>
              <w:t>3.2对我国省级（直辖区、自治区）以及计划单列市人民政府的债权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bCs/>
                <w:szCs w:val="21"/>
              </w:rPr>
              <w:t>20%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78" w:leftChars="85"/>
              <w:rPr>
                <w:rFonts w:hint="eastAsia" w:ascii="仿宋" w:hAnsi="仿宋" w:eastAsia="仿宋"/>
                <w:bCs/>
                <w:szCs w:val="21"/>
              </w:rPr>
            </w:pPr>
            <w:r>
              <w:rPr>
                <w:rFonts w:hint="eastAsia" w:ascii="仿宋" w:hAnsi="仿宋" w:eastAsia="仿宋"/>
                <w:bCs/>
                <w:szCs w:val="21"/>
              </w:rPr>
              <w:t>3.3对评级AA-及以上国家或地区注册的公共部门实体的债权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bCs/>
                <w:szCs w:val="21"/>
              </w:rPr>
              <w:t>25%</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78" w:leftChars="85"/>
              <w:rPr>
                <w:rFonts w:hint="eastAsia" w:ascii="仿宋" w:hAnsi="仿宋" w:eastAsia="仿宋"/>
                <w:bCs/>
                <w:szCs w:val="21"/>
              </w:rPr>
            </w:pPr>
            <w:r>
              <w:rPr>
                <w:rFonts w:hint="eastAsia" w:ascii="仿宋" w:hAnsi="仿宋" w:eastAsia="仿宋"/>
                <w:bCs/>
                <w:szCs w:val="21"/>
              </w:rPr>
              <w:t>3.4对评级AA-以下，A-（含A-）以上国家或地区注册的公共部门实体的债权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bCs/>
                <w:szCs w:val="21"/>
              </w:rPr>
              <w:t>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78" w:leftChars="85"/>
              <w:rPr>
                <w:rFonts w:hint="eastAsia" w:ascii="仿宋" w:hAnsi="仿宋" w:eastAsia="仿宋"/>
                <w:bCs/>
                <w:szCs w:val="21"/>
              </w:rPr>
            </w:pPr>
            <w:r>
              <w:rPr>
                <w:rFonts w:hint="eastAsia" w:ascii="仿宋" w:hAnsi="仿宋" w:eastAsia="仿宋"/>
                <w:bCs/>
                <w:szCs w:val="21"/>
              </w:rPr>
              <w:t>3.5对评级A-以下，B-（含B-）以上国家或地区注册的公共部门实体的债权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bCs/>
                <w:szCs w:val="21"/>
              </w:rPr>
            </w:pPr>
            <w:r>
              <w:rPr>
                <w:rFonts w:hint="eastAsia" w:ascii="仿宋" w:hAnsi="仿宋" w:eastAsia="仿宋"/>
                <w:bCs/>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78" w:leftChars="85"/>
              <w:rPr>
                <w:rFonts w:hint="eastAsia" w:ascii="仿宋" w:hAnsi="仿宋" w:eastAsia="仿宋"/>
                <w:bCs/>
                <w:szCs w:val="21"/>
              </w:rPr>
            </w:pPr>
            <w:r>
              <w:rPr>
                <w:rFonts w:hint="eastAsia" w:ascii="仿宋" w:hAnsi="仿宋" w:eastAsia="仿宋"/>
                <w:bCs/>
                <w:szCs w:val="21"/>
              </w:rPr>
              <w:t>3.6对评级B-以下国家或地区注册的公共部门实体的债权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bCs/>
                <w:szCs w:val="21"/>
              </w:rPr>
              <w:t>150%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78" w:leftChars="85"/>
              <w:rPr>
                <w:rFonts w:hint="eastAsia" w:ascii="仿宋" w:hAnsi="仿宋" w:eastAsia="仿宋"/>
                <w:bCs/>
                <w:szCs w:val="21"/>
              </w:rPr>
            </w:pPr>
            <w:r>
              <w:rPr>
                <w:rFonts w:hint="eastAsia" w:ascii="仿宋" w:hAnsi="仿宋" w:eastAsia="仿宋"/>
                <w:bCs/>
                <w:szCs w:val="21"/>
              </w:rPr>
              <w:t>3.7对未评级的国家或地区注册的公共部门实体的债权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bCs/>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b/>
                <w:bCs/>
                <w:szCs w:val="21"/>
              </w:rPr>
            </w:pPr>
            <w:r>
              <w:rPr>
                <w:rFonts w:hint="eastAsia" w:ascii="仿宋" w:hAnsi="仿宋" w:eastAsia="仿宋"/>
                <w:b/>
                <w:bCs/>
                <w:szCs w:val="21"/>
              </w:rPr>
              <w:t>4.对我国金融机构的债权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18" w:leftChars="-104"/>
              <w:rPr>
                <w:rFonts w:hint="eastAsia" w:ascii="仿宋" w:hAnsi="仿宋" w:eastAsia="仿宋"/>
                <w:szCs w:val="21"/>
              </w:rPr>
            </w:pPr>
            <w:r>
              <w:rPr>
                <w:rFonts w:hint="eastAsia" w:ascii="仿宋" w:hAnsi="仿宋" w:eastAsia="仿宋"/>
                <w:szCs w:val="21"/>
              </w:rPr>
              <w:t>4.1对我国政策性银行的债权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80" w:leftChars="38"/>
              <w:rPr>
                <w:rFonts w:hint="eastAsia" w:ascii="仿宋" w:hAnsi="仿宋" w:eastAsia="仿宋"/>
                <w:szCs w:val="21"/>
              </w:rPr>
            </w:pPr>
            <w:r>
              <w:rPr>
                <w:rFonts w:hint="eastAsia" w:ascii="仿宋" w:hAnsi="仿宋" w:eastAsia="仿宋"/>
                <w:szCs w:val="21"/>
              </w:rPr>
              <w:t>4.1.1对我国政策性银行的债权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810" w:type="dxa"/>
              <w:bottom w:w="0" w:type="dxa"/>
              <w:right w:w="15" w:type="dxa"/>
            </w:tcMar>
            <w:vAlign w:val="center"/>
          </w:tcPr>
          <w:p>
            <w:pPr>
              <w:ind w:left="-319" w:leftChars="-152"/>
              <w:rPr>
                <w:rFonts w:hint="eastAsia" w:ascii="仿宋" w:hAnsi="仿宋" w:eastAsia="仿宋"/>
                <w:szCs w:val="21"/>
              </w:rPr>
            </w:pPr>
            <w:r>
              <w:rPr>
                <w:rFonts w:hint="eastAsia" w:ascii="仿宋" w:hAnsi="仿宋" w:eastAsia="仿宋"/>
                <w:szCs w:val="21"/>
              </w:rPr>
              <w:t>4.1.2对我国政策性银行的次级债权（未扣除部分）</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4.2对我国商业银行的债权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77" w:leftChars="32" w:hanging="10" w:hangingChars="5"/>
              <w:rPr>
                <w:rFonts w:hint="eastAsia" w:ascii="仿宋" w:hAnsi="仿宋" w:eastAsia="仿宋"/>
                <w:szCs w:val="21"/>
              </w:rPr>
            </w:pPr>
            <w:r>
              <w:rPr>
                <w:rFonts w:hint="eastAsia" w:ascii="仿宋" w:hAnsi="仿宋" w:eastAsia="仿宋"/>
                <w:szCs w:val="21"/>
              </w:rPr>
              <w:t>4.2.1原始期限3个月以内</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20%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77" w:leftChars="32" w:hanging="10" w:hangingChars="5"/>
              <w:rPr>
                <w:rFonts w:hint="eastAsia" w:ascii="仿宋" w:hAnsi="仿宋" w:eastAsia="仿宋"/>
                <w:szCs w:val="21"/>
              </w:rPr>
            </w:pPr>
            <w:r>
              <w:rPr>
                <w:rFonts w:hint="eastAsia" w:ascii="仿宋" w:hAnsi="仿宋" w:eastAsia="仿宋"/>
                <w:szCs w:val="21"/>
              </w:rPr>
              <w:t>4.2.2原始期限3个月以上</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25%</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18" w:leftChars="-104"/>
              <w:rPr>
                <w:rFonts w:hint="eastAsia" w:ascii="仿宋" w:hAnsi="仿宋" w:eastAsia="仿宋"/>
                <w:szCs w:val="21"/>
              </w:rPr>
            </w:pPr>
            <w:r>
              <w:rPr>
                <w:rFonts w:hint="eastAsia" w:ascii="仿宋" w:hAnsi="仿宋" w:eastAsia="仿宋"/>
                <w:szCs w:val="21"/>
              </w:rPr>
              <w:t>4.3对我国商业银行的次级债权（未扣除部分）</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18" w:leftChars="-104"/>
              <w:rPr>
                <w:rFonts w:hint="eastAsia" w:ascii="仿宋" w:hAnsi="仿宋" w:eastAsia="仿宋"/>
                <w:szCs w:val="21"/>
              </w:rPr>
            </w:pPr>
            <w:r>
              <w:rPr>
                <w:rFonts w:hint="eastAsia" w:ascii="仿宋" w:hAnsi="仿宋" w:eastAsia="仿宋"/>
                <w:szCs w:val="21"/>
              </w:rPr>
              <w:t>4.4对我国其他金融机构的债权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b/>
                <w:bCs/>
                <w:szCs w:val="21"/>
              </w:rPr>
            </w:pPr>
            <w:r>
              <w:rPr>
                <w:rFonts w:hint="eastAsia" w:ascii="仿宋" w:hAnsi="仿宋" w:eastAsia="仿宋"/>
                <w:b/>
                <w:bCs/>
                <w:szCs w:val="21"/>
              </w:rPr>
              <w:t>5.对在其他国家或地区注册的金融机构的债权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7" w:leftChars="-113" w:firstLine="33" w:firstLineChars="16"/>
              <w:rPr>
                <w:rFonts w:hint="eastAsia" w:ascii="仿宋" w:hAnsi="仿宋" w:eastAsia="仿宋"/>
                <w:szCs w:val="21"/>
              </w:rPr>
            </w:pPr>
            <w:r>
              <w:rPr>
                <w:rFonts w:hint="eastAsia" w:ascii="仿宋" w:hAnsi="仿宋" w:eastAsia="仿宋"/>
                <w:szCs w:val="21"/>
              </w:rPr>
              <w:t>5.1对评级AA-（含AA-）以上国家或地区注册的商业银行的债权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25%</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7" w:leftChars="-113" w:firstLine="33" w:firstLineChars="16"/>
              <w:rPr>
                <w:rFonts w:hint="eastAsia" w:ascii="仿宋" w:hAnsi="仿宋" w:eastAsia="仿宋"/>
                <w:szCs w:val="21"/>
              </w:rPr>
            </w:pPr>
            <w:r>
              <w:rPr>
                <w:rFonts w:hint="eastAsia" w:ascii="仿宋" w:hAnsi="仿宋" w:eastAsia="仿宋"/>
                <w:szCs w:val="21"/>
              </w:rPr>
              <w:t>5.2对评级AA-以下，A-（含A-）以上国家或地区注册的商业银行的债权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7" w:leftChars="-113" w:firstLine="33" w:firstLineChars="16"/>
              <w:rPr>
                <w:rFonts w:hint="eastAsia" w:ascii="仿宋" w:hAnsi="仿宋" w:eastAsia="仿宋"/>
                <w:szCs w:val="21"/>
              </w:rPr>
            </w:pPr>
            <w:r>
              <w:rPr>
                <w:rFonts w:hint="eastAsia" w:ascii="仿宋" w:hAnsi="仿宋" w:eastAsia="仿宋"/>
                <w:szCs w:val="21"/>
              </w:rPr>
              <w:t>5.3对评级A-以下，B-（含B-）以上国家或地区注册的商业银行的债权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7" w:leftChars="-113" w:firstLine="33" w:firstLineChars="16"/>
              <w:rPr>
                <w:rFonts w:hint="eastAsia" w:ascii="仿宋" w:hAnsi="仿宋" w:eastAsia="仿宋"/>
                <w:szCs w:val="21"/>
              </w:rPr>
            </w:pPr>
            <w:r>
              <w:rPr>
                <w:rFonts w:hint="eastAsia" w:ascii="仿宋" w:hAnsi="仿宋" w:eastAsia="仿宋"/>
                <w:szCs w:val="21"/>
              </w:rPr>
              <w:t>5.4对评级B-以下国家或地区注册的商业银行的债权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7" w:leftChars="-113" w:firstLine="33" w:firstLineChars="16"/>
              <w:rPr>
                <w:rFonts w:hint="eastAsia" w:ascii="仿宋" w:hAnsi="仿宋" w:eastAsia="仿宋"/>
                <w:szCs w:val="21"/>
              </w:rPr>
            </w:pPr>
            <w:r>
              <w:rPr>
                <w:rFonts w:hint="eastAsia" w:ascii="仿宋" w:hAnsi="仿宋" w:eastAsia="仿宋"/>
                <w:szCs w:val="21"/>
              </w:rPr>
              <w:t>5.5对未评级的国家或地区注册的商业银行的债权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7" w:leftChars="-113" w:firstLine="33" w:firstLineChars="16"/>
              <w:rPr>
                <w:rFonts w:hint="eastAsia" w:ascii="仿宋" w:hAnsi="仿宋" w:eastAsia="仿宋"/>
                <w:szCs w:val="21"/>
              </w:rPr>
            </w:pPr>
            <w:r>
              <w:rPr>
                <w:rFonts w:hint="eastAsia" w:ascii="仿宋" w:hAnsi="仿宋" w:eastAsia="仿宋"/>
                <w:szCs w:val="21"/>
              </w:rPr>
              <w:t>5.6对多边开发银行、国际清算银行及国际货币基金组织的债权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7" w:leftChars="-113" w:firstLine="33" w:firstLineChars="16"/>
              <w:rPr>
                <w:rFonts w:hint="eastAsia" w:ascii="仿宋" w:hAnsi="仿宋" w:eastAsia="仿宋"/>
                <w:szCs w:val="21"/>
              </w:rPr>
            </w:pPr>
            <w:r>
              <w:rPr>
                <w:rFonts w:hint="eastAsia" w:ascii="仿宋" w:hAnsi="仿宋" w:eastAsia="仿宋"/>
                <w:szCs w:val="21"/>
              </w:rPr>
              <w:t>5.7对其他金融机构的债权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b/>
                <w:bCs/>
                <w:szCs w:val="21"/>
              </w:rPr>
            </w:pPr>
            <w:r>
              <w:rPr>
                <w:rFonts w:hint="eastAsia" w:ascii="仿宋" w:hAnsi="仿宋" w:eastAsia="仿宋"/>
                <w:b/>
                <w:bCs/>
                <w:szCs w:val="21"/>
              </w:rPr>
              <w:t>6.对一般企（事）业单位和个人债权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6.1收购金融不良资产形成的债权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54" w:leftChars="18" w:hanging="16" w:hangingChars="8"/>
              <w:rPr>
                <w:rFonts w:hint="eastAsia" w:ascii="仿宋" w:hAnsi="仿宋" w:eastAsia="仿宋"/>
                <w:szCs w:val="21"/>
              </w:rPr>
            </w:pPr>
            <w:r>
              <w:rPr>
                <w:rFonts w:hint="eastAsia" w:ascii="仿宋" w:hAnsi="仿宋" w:eastAsia="仿宋"/>
                <w:szCs w:val="21"/>
              </w:rPr>
              <w:t>6.1.1批量收购金融不良资产形成的债权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54" w:leftChars="18" w:hanging="16" w:hangingChars="8"/>
              <w:rPr>
                <w:rFonts w:hint="eastAsia" w:ascii="仿宋" w:hAnsi="仿宋" w:eastAsia="仿宋"/>
                <w:szCs w:val="21"/>
              </w:rPr>
            </w:pPr>
            <w:r>
              <w:rPr>
                <w:rFonts w:hint="eastAsia" w:ascii="仿宋" w:hAnsi="仿宋" w:eastAsia="仿宋"/>
                <w:szCs w:val="21"/>
              </w:rPr>
              <w:t>6.1.2其他形式收购金融不良资产形成的债权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75%</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6.2收购非金融不良资产形成的债权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ind w:left="-199" w:leftChars="-95"/>
              <w:rPr>
                <w:rFonts w:hint="eastAsia" w:ascii="仿宋" w:hAnsi="仿宋" w:eastAsia="仿宋"/>
                <w:b/>
                <w:bCs/>
                <w:szCs w:val="21"/>
              </w:rPr>
            </w:pPr>
            <w:r>
              <w:rPr>
                <w:rFonts w:hint="eastAsia" w:ascii="仿宋" w:hAnsi="仿宋" w:eastAsia="仿宋"/>
                <w:szCs w:val="21"/>
              </w:rPr>
              <w:t xml:space="preserve">   6.3其他对一般企（事）业单位和个人的债权</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399" w:leftChars="-190"/>
              <w:rPr>
                <w:rFonts w:hint="eastAsia" w:ascii="仿宋" w:hAnsi="仿宋" w:eastAsia="仿宋"/>
                <w:szCs w:val="21"/>
              </w:rPr>
            </w:pPr>
            <w:r>
              <w:rPr>
                <w:rFonts w:hint="eastAsia" w:ascii="仿宋" w:hAnsi="仿宋" w:eastAsia="仿宋"/>
                <w:b/>
                <w:bCs/>
                <w:szCs w:val="21"/>
              </w:rPr>
              <w:t>7.股权投资</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199" w:leftChars="-95"/>
              <w:rPr>
                <w:rFonts w:hint="eastAsia" w:ascii="仿宋" w:hAnsi="仿宋" w:eastAsia="仿宋"/>
                <w:szCs w:val="21"/>
              </w:rPr>
            </w:pPr>
            <w:r>
              <w:rPr>
                <w:rFonts w:hint="eastAsia" w:ascii="仿宋" w:hAnsi="仿宋" w:eastAsia="仿宋"/>
                <w:szCs w:val="21"/>
              </w:rPr>
              <w:t xml:space="preserve">   7.1对金融机构的股权投资（未扣除部分）</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250%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176" w:leftChars="84"/>
              <w:rPr>
                <w:rFonts w:hint="eastAsia" w:ascii="仿宋" w:hAnsi="仿宋" w:eastAsia="仿宋"/>
                <w:szCs w:val="21"/>
              </w:rPr>
            </w:pPr>
            <w:r>
              <w:rPr>
                <w:rFonts w:hint="eastAsia" w:ascii="仿宋" w:hAnsi="仿宋" w:eastAsia="仿宋"/>
                <w:szCs w:val="21"/>
              </w:rPr>
              <w:t>7.2因政策性原因形成的对工商企业的股权投资</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176" w:leftChars="84"/>
              <w:rPr>
                <w:rFonts w:hint="eastAsia" w:ascii="仿宋" w:hAnsi="仿宋" w:eastAsia="仿宋"/>
                <w:szCs w:val="21"/>
              </w:rPr>
            </w:pPr>
            <w:r>
              <w:rPr>
                <w:rFonts w:hint="eastAsia" w:ascii="仿宋" w:hAnsi="仿宋" w:eastAsia="仿宋"/>
                <w:szCs w:val="21"/>
              </w:rPr>
              <w:t>7.3围绕不良资产开展的追加投资</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ind w:left="-36" w:leftChars="-17" w:firstLine="31" w:firstLineChars="15"/>
              <w:jc w:val="center"/>
              <w:rPr>
                <w:rFonts w:hint="eastAsia" w:ascii="仿宋" w:hAnsi="仿宋" w:eastAsia="仿宋"/>
                <w:szCs w:val="21"/>
              </w:rPr>
            </w:pPr>
            <w:r>
              <w:rPr>
                <w:rFonts w:hint="eastAsia" w:ascii="仿宋" w:hAnsi="仿宋" w:eastAsia="仿宋"/>
                <w:szCs w:val="21"/>
              </w:rPr>
              <w:t>150%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176" w:leftChars="84"/>
              <w:rPr>
                <w:rFonts w:hint="eastAsia" w:ascii="仿宋" w:hAnsi="仿宋" w:eastAsia="仿宋"/>
                <w:szCs w:val="21"/>
              </w:rPr>
            </w:pPr>
            <w:r>
              <w:rPr>
                <w:rFonts w:hint="eastAsia" w:ascii="仿宋" w:hAnsi="仿宋" w:eastAsia="仿宋"/>
                <w:szCs w:val="21"/>
              </w:rPr>
              <w:t>7.4市场化债转股</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ind w:left="-36" w:leftChars="-17" w:firstLine="31" w:firstLineChars="15"/>
              <w:jc w:val="center"/>
              <w:rPr>
                <w:rFonts w:hint="eastAsia" w:ascii="仿宋" w:hAnsi="仿宋" w:eastAsia="仿宋"/>
                <w:szCs w:val="21"/>
              </w:rPr>
            </w:pPr>
            <w:r>
              <w:rPr>
                <w:rFonts w:hint="eastAsia" w:ascii="仿宋" w:hAnsi="仿宋" w:eastAsia="仿宋"/>
                <w:szCs w:val="21"/>
              </w:rPr>
              <w:t>150%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176" w:leftChars="84"/>
              <w:rPr>
                <w:rFonts w:hint="eastAsia" w:ascii="仿宋" w:hAnsi="仿宋" w:eastAsia="仿宋"/>
                <w:szCs w:val="21"/>
              </w:rPr>
            </w:pPr>
            <w:r>
              <w:rPr>
                <w:rFonts w:hint="eastAsia" w:ascii="仿宋" w:hAnsi="仿宋" w:eastAsia="仿宋"/>
                <w:szCs w:val="21"/>
              </w:rPr>
              <w:t>7.5对工商企业的其他股权投资（未扣除部分）</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ind w:left="-36" w:leftChars="-17" w:firstLine="31" w:firstLineChars="15"/>
              <w:jc w:val="center"/>
              <w:rPr>
                <w:rFonts w:hint="eastAsia" w:ascii="仿宋" w:hAnsi="仿宋" w:eastAsia="仿宋"/>
                <w:szCs w:val="21"/>
              </w:rPr>
            </w:pPr>
            <w:r>
              <w:rPr>
                <w:rFonts w:hint="eastAsia" w:ascii="仿宋" w:hAnsi="仿宋" w:eastAsia="仿宋"/>
                <w:szCs w:val="21"/>
              </w:rPr>
              <w:t>400%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176" w:leftChars="84"/>
              <w:rPr>
                <w:rFonts w:hint="eastAsia" w:ascii="仿宋" w:hAnsi="仿宋" w:eastAsia="仿宋"/>
                <w:szCs w:val="21"/>
              </w:rPr>
            </w:pPr>
            <w:r>
              <w:rPr>
                <w:rFonts w:hint="eastAsia" w:ascii="仿宋" w:hAnsi="仿宋" w:eastAsia="仿宋"/>
                <w:szCs w:val="21"/>
              </w:rPr>
              <w:t>7.6对有控制权但未并表的工商企业的股权投资</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ind w:left="-36" w:leftChars="-17" w:firstLine="31" w:firstLineChars="15"/>
              <w:jc w:val="center"/>
              <w:rPr>
                <w:rFonts w:hint="eastAsia" w:ascii="仿宋" w:hAnsi="仿宋" w:eastAsia="仿宋"/>
                <w:szCs w:val="21"/>
              </w:rPr>
            </w:pPr>
            <w:r>
              <w:rPr>
                <w:rFonts w:hint="eastAsia" w:ascii="仿宋" w:hAnsi="仿宋" w:eastAsia="仿宋"/>
                <w:szCs w:val="21"/>
              </w:rPr>
              <w:t>800%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rPr>
                <w:rFonts w:hint="eastAsia" w:ascii="仿宋" w:hAnsi="仿宋" w:eastAsia="仿宋"/>
                <w:b/>
                <w:bCs/>
                <w:szCs w:val="21"/>
              </w:rPr>
            </w:pPr>
            <w:r>
              <w:rPr>
                <w:rFonts w:hint="eastAsia" w:ascii="仿宋" w:hAnsi="仿宋" w:eastAsia="仿宋"/>
                <w:b/>
                <w:bCs/>
                <w:szCs w:val="21"/>
              </w:rPr>
              <w:t>8.其他</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160" w:leftChars="76"/>
              <w:rPr>
                <w:rFonts w:hint="eastAsia" w:ascii="仿宋" w:hAnsi="仿宋" w:eastAsia="仿宋"/>
                <w:szCs w:val="21"/>
              </w:rPr>
            </w:pPr>
            <w:r>
              <w:rPr>
                <w:rFonts w:hint="eastAsia" w:ascii="仿宋" w:hAnsi="仿宋" w:eastAsia="仿宋"/>
                <w:szCs w:val="21"/>
              </w:rPr>
              <w:t>8.1非自用不动产</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420" w:leftChars="200"/>
              <w:rPr>
                <w:rFonts w:hint="eastAsia" w:ascii="仿宋" w:hAnsi="仿宋" w:eastAsia="仿宋"/>
                <w:b/>
                <w:bCs/>
                <w:szCs w:val="21"/>
              </w:rPr>
            </w:pPr>
            <w:r>
              <w:rPr>
                <w:rFonts w:hint="eastAsia" w:ascii="仿宋" w:hAnsi="仿宋" w:eastAsia="仿宋"/>
                <w:szCs w:val="21"/>
              </w:rPr>
              <w:t>8.1.1 因行使抵押权而持有的非自用不动产</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ind w:left="420" w:leftChars="200"/>
              <w:rPr>
                <w:rFonts w:hint="eastAsia" w:ascii="仿宋" w:hAnsi="仿宋" w:eastAsia="仿宋"/>
                <w:b/>
                <w:bCs/>
                <w:szCs w:val="21"/>
              </w:rPr>
            </w:pPr>
            <w:r>
              <w:rPr>
                <w:rFonts w:hint="eastAsia" w:ascii="仿宋" w:hAnsi="仿宋" w:eastAsia="仿宋"/>
                <w:szCs w:val="21"/>
              </w:rPr>
              <w:t>8.1.2 其他非自用不动产</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400%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9" w:leftChars="-114"/>
              <w:rPr>
                <w:rFonts w:hint="eastAsia" w:ascii="仿宋" w:hAnsi="仿宋" w:eastAsia="仿宋"/>
                <w:szCs w:val="21"/>
              </w:rPr>
            </w:pPr>
            <w:r>
              <w:rPr>
                <w:rFonts w:hint="eastAsia" w:ascii="仿宋" w:hAnsi="仿宋" w:eastAsia="仿宋"/>
                <w:szCs w:val="21"/>
              </w:rPr>
              <w:t>8.2次级受益权资产</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200%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9" w:leftChars="-114"/>
              <w:rPr>
                <w:rFonts w:hint="eastAsia" w:ascii="仿宋" w:hAnsi="仿宋" w:eastAsia="仿宋"/>
                <w:szCs w:val="21"/>
              </w:rPr>
            </w:pPr>
            <w:r>
              <w:rPr>
                <w:rFonts w:hint="eastAsia" w:ascii="仿宋" w:hAnsi="仿宋" w:eastAsia="仿宋"/>
                <w:szCs w:val="21"/>
              </w:rPr>
              <w:t>8.3因实质性重组项目形成的表内资产</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50%</w:t>
            </w:r>
          </w:p>
        </w:tc>
      </w:tr>
      <w:tr>
        <w:tblPrEx>
          <w:tblCellMar>
            <w:top w:w="0" w:type="dxa"/>
            <w:left w:w="0" w:type="dxa"/>
            <w:bottom w:w="0" w:type="dxa"/>
            <w:right w:w="0" w:type="dxa"/>
          </w:tblCellMar>
        </w:tblPrEx>
        <w:trPr>
          <w:trHeight w:val="397" w:hRule="exact"/>
          <w:jc w:val="center"/>
        </w:trPr>
        <w:tc>
          <w:tcPr>
            <w:tcW w:w="8247" w:type="dxa"/>
            <w:tcBorders>
              <w:top w:val="nil"/>
              <w:left w:val="single" w:color="auto" w:sz="4" w:space="0"/>
              <w:bottom w:val="single" w:color="auto" w:sz="4" w:space="0"/>
              <w:right w:val="single" w:color="auto" w:sz="4" w:space="0"/>
            </w:tcBorders>
            <w:tcMar>
              <w:top w:w="15" w:type="dxa"/>
              <w:left w:w="405" w:type="dxa"/>
              <w:bottom w:w="0" w:type="dxa"/>
              <w:right w:w="15" w:type="dxa"/>
            </w:tcMar>
            <w:vAlign w:val="center"/>
          </w:tcPr>
          <w:p>
            <w:pPr>
              <w:ind w:left="-239" w:leftChars="-114"/>
              <w:rPr>
                <w:rFonts w:hint="eastAsia" w:ascii="仿宋" w:hAnsi="仿宋" w:eastAsia="仿宋"/>
                <w:szCs w:val="21"/>
              </w:rPr>
            </w:pPr>
            <w:r>
              <w:rPr>
                <w:rFonts w:hint="eastAsia" w:ascii="仿宋" w:hAnsi="仿宋" w:eastAsia="仿宋"/>
                <w:szCs w:val="21"/>
              </w:rPr>
              <w:t>8.4其他表内资产</w:t>
            </w:r>
          </w:p>
        </w:tc>
        <w:tc>
          <w:tcPr>
            <w:tcW w:w="737"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bl>
    <w:p>
      <w:pPr>
        <w:ind w:firstLine="420" w:firstLineChars="200"/>
        <w:rPr>
          <w:rFonts w:hint="eastAsia" w:ascii="仿宋" w:hAnsi="仿宋" w:eastAsia="仿宋"/>
          <w:szCs w:val="21"/>
        </w:rPr>
      </w:pPr>
      <w:r>
        <w:rPr>
          <w:rFonts w:ascii="仿宋" w:hAnsi="仿宋" w:eastAsia="仿宋"/>
          <w:szCs w:val="21"/>
        </w:rPr>
        <w:t>注：1.多边开发银行包括世界银行集团、亚洲开发银行、亚洲基础设施投资银行、金砖国家新开发银行、非洲开发银行、欧洲复兴开发银行、泛美开发银行、欧洲投资银行、欧洲投资基金、北欧投资银行、加勒比海开发银行、伊斯兰开发银行和欧洲开发银行理事会。</w:t>
      </w:r>
    </w:p>
    <w:p>
      <w:pPr>
        <w:ind w:firstLine="420" w:firstLineChars="200"/>
        <w:rPr>
          <w:rFonts w:hint="eastAsia" w:ascii="仿宋" w:hAnsi="仿宋" w:eastAsia="仿宋"/>
          <w:szCs w:val="21"/>
        </w:rPr>
      </w:pPr>
      <w:r>
        <w:rPr>
          <w:rFonts w:ascii="仿宋" w:hAnsi="仿宋" w:eastAsia="仿宋"/>
          <w:szCs w:val="21"/>
        </w:rPr>
        <w:t>2.收购金融不良资产是指资产公司按照国家有关规定和市场化原则从金融机构收购的债权类不良资产（按规定程序和标准认定为次级、可疑、损失类的债权资产，不包括由金融机构作为中间人受托管理其他法人或自然人财产形成的不良资产），且与不良资产转出方之间不存在任何关于该笔资产的回购协议或约定最低处置收益的委托处置协议。</w:t>
      </w:r>
    </w:p>
    <w:p>
      <w:pPr>
        <w:ind w:firstLine="420" w:firstLineChars="200"/>
        <w:rPr>
          <w:rFonts w:hint="eastAsia" w:ascii="仿宋" w:hAnsi="仿宋" w:eastAsia="仿宋"/>
          <w:szCs w:val="21"/>
        </w:rPr>
      </w:pPr>
      <w:r>
        <w:rPr>
          <w:rFonts w:hint="eastAsia" w:ascii="仿宋" w:hAnsi="仿宋" w:eastAsia="仿宋"/>
          <w:szCs w:val="21"/>
        </w:rPr>
        <w:t>批量收购金融不良资产</w:t>
      </w:r>
      <w:r>
        <w:rPr>
          <w:rFonts w:ascii="仿宋" w:hAnsi="仿宋" w:eastAsia="仿宋"/>
          <w:szCs w:val="21"/>
        </w:rPr>
        <w:t>形成的债权是指资产公司按照《金融企业不良资产批量转让管理办法》（财金</w:t>
      </w:r>
      <w:r>
        <w:rPr>
          <w:rFonts w:hint="eastAsia" w:ascii="仿宋" w:hAnsi="仿宋" w:eastAsia="仿宋" w:cs="黑体"/>
          <w:szCs w:val="21"/>
        </w:rPr>
        <w:t>〔</w:t>
      </w:r>
      <w:r>
        <w:rPr>
          <w:rFonts w:ascii="仿宋" w:hAnsi="仿宋" w:eastAsia="仿宋"/>
          <w:szCs w:val="21"/>
        </w:rPr>
        <w:t>2012</w:t>
      </w:r>
      <w:r>
        <w:rPr>
          <w:rFonts w:hint="eastAsia" w:ascii="仿宋" w:hAnsi="仿宋" w:eastAsia="仿宋" w:cs="黑体"/>
          <w:szCs w:val="21"/>
        </w:rPr>
        <w:t>〕</w:t>
      </w:r>
      <w:r>
        <w:rPr>
          <w:rFonts w:ascii="仿宋" w:hAnsi="仿宋" w:eastAsia="仿宋"/>
          <w:szCs w:val="21"/>
        </w:rPr>
        <w:t>6号）及有关补充规定从金融企业收购的不良债权资产。</w:t>
      </w:r>
    </w:p>
    <w:p>
      <w:pPr>
        <w:ind w:firstLine="420" w:firstLineChars="200"/>
        <w:rPr>
          <w:rFonts w:hint="eastAsia" w:ascii="仿宋" w:hAnsi="仿宋" w:eastAsia="仿宋"/>
          <w:szCs w:val="21"/>
        </w:rPr>
      </w:pPr>
      <w:r>
        <w:rPr>
          <w:rFonts w:ascii="仿宋" w:hAnsi="仿宋" w:eastAsia="仿宋"/>
          <w:szCs w:val="21"/>
        </w:rPr>
        <w:t>3.因政策性原因形成的对工商企业的股权投资是指经国务院批准的政策性债转股以及为实现其保值增值而形成的对工商企业的股权投资，形成方式包括股权置换、增资、配股、转增股本、定向增发等。</w:t>
      </w:r>
    </w:p>
    <w:p>
      <w:pPr>
        <w:ind w:firstLine="420" w:firstLineChars="200"/>
        <w:rPr>
          <w:rFonts w:hint="eastAsia" w:ascii="仿宋" w:hAnsi="仿宋" w:eastAsia="仿宋"/>
          <w:szCs w:val="21"/>
        </w:rPr>
      </w:pPr>
      <w:r>
        <w:rPr>
          <w:rFonts w:ascii="仿宋" w:hAnsi="仿宋" w:eastAsia="仿宋"/>
          <w:szCs w:val="21"/>
        </w:rPr>
        <w:t>4.因实质性重组项目形成的表内资产是指资产公司参与对问题企业的实质性重组活动形成的债权、股权等各类表内资产。</w:t>
      </w:r>
    </w:p>
    <w:p>
      <w:pPr>
        <w:ind w:firstLine="420" w:firstLineChars="200"/>
        <w:rPr>
          <w:rFonts w:hint="eastAsia" w:ascii="仿宋" w:hAnsi="仿宋" w:eastAsia="仿宋"/>
          <w:szCs w:val="21"/>
        </w:rPr>
      </w:pPr>
      <w:r>
        <w:rPr>
          <w:rFonts w:ascii="仿宋" w:hAnsi="仿宋" w:eastAsia="仿宋"/>
          <w:szCs w:val="21"/>
        </w:rPr>
        <w:t>实质性重组是指资产公司单独或者联合其他机构运用多种方式对问题企业的资金、资产、人才、技术、管理等要素进行重新配置，构建新的生产经营模式，帮助企业摆脱经营与财务困境，恢复生产经营能力和偿债能力，实现企业价值再造和提升。只对问题企业提供直接或间接融资的项目不包含在内。</w:t>
      </w:r>
    </w:p>
    <w:p>
      <w:pPr>
        <w:ind w:firstLine="420" w:firstLineChars="200"/>
        <w:rPr>
          <w:rFonts w:hint="eastAsia" w:ascii="仿宋" w:hAnsi="仿宋" w:eastAsia="仿宋"/>
          <w:szCs w:val="21"/>
        </w:rPr>
      </w:pPr>
      <w:r>
        <w:rPr>
          <w:rFonts w:ascii="仿宋" w:hAnsi="仿宋" w:eastAsia="仿宋"/>
          <w:szCs w:val="21"/>
        </w:rPr>
        <w:t>问题企业是指经营或财务遭遇困难的企业，包括但不限于：（1）贷款、债券、票据、应付账款等债务不能按期偿付；（2）资产低效或无效运营，例如，企业涉及重大诉讼、核心资产被查封、资金被冻结等；（3）经营情况出现异常，例如，主营业务持续萎缩、对外过度投资、产能严重过剩等；（4）财务状况出现异常，例如，资不抵债、收不抵支、连续两年亏损，并且难以获得补充资金来源等；（5）意外、突发事件引致的暂时性困难，例如，遭遇短期流动性问题、资金链突然断裂、债务或权益被要求提前偿付或赎回等；（6）企业管理失效，例如，内部管理机制失灵、企业市场价值或公允评估值长期低于企业净资产等。</w:t>
      </w:r>
    </w:p>
    <w:p>
      <w:pPr>
        <w:ind w:firstLine="420" w:firstLineChars="200"/>
        <w:rPr>
          <w:rFonts w:hint="eastAsia" w:ascii="仿宋" w:hAnsi="仿宋" w:eastAsia="仿宋"/>
          <w:szCs w:val="21"/>
        </w:rPr>
      </w:pPr>
      <w:r>
        <w:rPr>
          <w:rFonts w:ascii="仿宋" w:hAnsi="仿宋" w:eastAsia="仿宋"/>
          <w:szCs w:val="21"/>
        </w:rPr>
        <w:t>5.资产公司附属房地产类子公司开发的房地产资产可填入“8.4其他表内资产”。</w:t>
      </w:r>
    </w:p>
    <w:p>
      <w:pPr>
        <w:ind w:firstLine="420" w:firstLineChars="200"/>
        <w:rPr>
          <w:rFonts w:hint="eastAsia" w:ascii="仿宋" w:hAnsi="仿宋" w:eastAsia="仿宋"/>
          <w:szCs w:val="21"/>
        </w:rPr>
      </w:pPr>
    </w:p>
    <w:p>
      <w:pPr>
        <w:rPr>
          <w:rFonts w:hint="eastAsia" w:ascii="仿宋" w:hAnsi="仿宋" w:eastAsia="仿宋"/>
          <w:b/>
          <w:szCs w:val="21"/>
        </w:rPr>
      </w:pPr>
      <w:r>
        <w:rPr>
          <w:rFonts w:ascii="仿宋" w:hAnsi="仿宋" w:eastAsia="仿宋"/>
          <w:b/>
          <w:szCs w:val="21"/>
        </w:rPr>
        <w:t xml:space="preserve">    </w:t>
      </w:r>
      <w:r>
        <w:rPr>
          <w:rFonts w:ascii="仿宋" w:hAnsi="仿宋" w:eastAsia="仿宋"/>
          <w:bCs/>
          <w:szCs w:val="21"/>
        </w:rPr>
        <w:t>二、表外项目信用转换系数</w:t>
      </w:r>
    </w:p>
    <w:p>
      <w:pPr>
        <w:jc w:val="center"/>
        <w:rPr>
          <w:rFonts w:hint="eastAsia" w:ascii="仿宋" w:hAnsi="仿宋" w:eastAsia="仿宋"/>
          <w:b/>
          <w:szCs w:val="21"/>
        </w:rPr>
      </w:pPr>
    </w:p>
    <w:p>
      <w:pPr>
        <w:jc w:val="center"/>
        <w:rPr>
          <w:rFonts w:hint="eastAsia" w:ascii="仿宋" w:hAnsi="仿宋" w:eastAsia="仿宋"/>
          <w:b/>
          <w:szCs w:val="21"/>
        </w:rPr>
      </w:pPr>
      <w:r>
        <w:rPr>
          <w:rFonts w:ascii="仿宋" w:hAnsi="仿宋" w:eastAsia="仿宋"/>
          <w:bCs/>
          <w:szCs w:val="21"/>
        </w:rPr>
        <w:t>表2：表外项目信用转换系数表</w:t>
      </w:r>
    </w:p>
    <w:tbl>
      <w:tblPr>
        <w:tblStyle w:val="42"/>
        <w:tblW w:w="6983" w:type="dxa"/>
        <w:jc w:val="center"/>
        <w:tblLayout w:type="fixed"/>
        <w:tblCellMar>
          <w:top w:w="0" w:type="dxa"/>
          <w:left w:w="0" w:type="dxa"/>
          <w:bottom w:w="0" w:type="dxa"/>
          <w:right w:w="0" w:type="dxa"/>
        </w:tblCellMar>
      </w:tblPr>
      <w:tblGrid>
        <w:gridCol w:w="5363"/>
        <w:gridCol w:w="1620"/>
      </w:tblGrid>
      <w:tr>
        <w:tblPrEx>
          <w:tblCellMar>
            <w:top w:w="0" w:type="dxa"/>
            <w:left w:w="0" w:type="dxa"/>
            <w:bottom w:w="0" w:type="dxa"/>
            <w:right w:w="0" w:type="dxa"/>
          </w:tblCellMar>
        </w:tblPrEx>
        <w:trPr>
          <w:trHeight w:val="397" w:hRule="exact"/>
          <w:jc w:val="center"/>
        </w:trPr>
        <w:tc>
          <w:tcPr>
            <w:tcW w:w="5363" w:type="dxa"/>
            <w:tcBorders>
              <w:top w:val="single" w:color="auto" w:sz="8"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bCs/>
                <w:szCs w:val="21"/>
              </w:rPr>
            </w:pPr>
            <w:r>
              <w:rPr>
                <w:rFonts w:hint="eastAsia" w:ascii="仿宋" w:hAnsi="仿宋" w:eastAsia="仿宋"/>
                <w:bCs/>
                <w:szCs w:val="21"/>
              </w:rPr>
              <w:t>项目</w:t>
            </w:r>
          </w:p>
        </w:tc>
        <w:tc>
          <w:tcPr>
            <w:tcW w:w="1620" w:type="dxa"/>
            <w:tcBorders>
              <w:top w:val="single" w:color="auto" w:sz="8" w:space="0"/>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bCs/>
                <w:szCs w:val="21"/>
              </w:rPr>
            </w:pPr>
            <w:r>
              <w:rPr>
                <w:rFonts w:hint="eastAsia" w:ascii="仿宋" w:hAnsi="仿宋" w:eastAsia="仿宋"/>
                <w:bCs/>
                <w:szCs w:val="21"/>
              </w:rPr>
              <w:t>信用转换系数</w:t>
            </w:r>
          </w:p>
        </w:tc>
      </w:tr>
      <w:tr>
        <w:tblPrEx>
          <w:tblCellMar>
            <w:top w:w="0" w:type="dxa"/>
            <w:left w:w="0" w:type="dxa"/>
            <w:bottom w:w="0" w:type="dxa"/>
            <w:right w:w="0" w:type="dxa"/>
          </w:tblCellMar>
        </w:tblPrEx>
        <w:trPr>
          <w:trHeight w:val="397" w:hRule="exact"/>
          <w:jc w:val="center"/>
        </w:trPr>
        <w:tc>
          <w:tcPr>
            <w:tcW w:w="5363"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szCs w:val="21"/>
              </w:rPr>
            </w:pPr>
            <w:r>
              <w:rPr>
                <w:rFonts w:hint="eastAsia" w:ascii="仿宋" w:hAnsi="仿宋" w:eastAsia="仿宋"/>
                <w:szCs w:val="21"/>
              </w:rPr>
              <w:t>1.担保及等同于担保的或有项目</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5363"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szCs w:val="21"/>
              </w:rPr>
            </w:pPr>
            <w:r>
              <w:rPr>
                <w:rFonts w:hint="eastAsia" w:ascii="仿宋" w:hAnsi="仿宋" w:eastAsia="仿宋"/>
                <w:szCs w:val="21"/>
              </w:rPr>
              <w:t>2.信用风险仍在资产公司的资产销售与购买协议</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5363"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szCs w:val="21"/>
              </w:rPr>
            </w:pPr>
            <w:r>
              <w:rPr>
                <w:rFonts w:hint="eastAsia" w:ascii="仿宋" w:hAnsi="仿宋" w:eastAsia="仿宋"/>
                <w:szCs w:val="21"/>
              </w:rPr>
              <w:t>3.远期资产购买</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5363"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szCs w:val="21"/>
              </w:rPr>
            </w:pPr>
            <w:r>
              <w:rPr>
                <w:rFonts w:hint="eastAsia" w:ascii="仿宋" w:hAnsi="仿宋" w:eastAsia="仿宋"/>
                <w:szCs w:val="21"/>
              </w:rPr>
              <w:t>4.部分交款的股票及证券</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5363"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szCs w:val="21"/>
              </w:rPr>
            </w:pPr>
            <w:r>
              <w:rPr>
                <w:rFonts w:hint="eastAsia" w:ascii="仿宋" w:hAnsi="仿宋" w:eastAsia="仿宋"/>
                <w:szCs w:val="21"/>
              </w:rPr>
              <w:t>5.资产公司借出的证券或用作抵押物的证券</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r>
        <w:tblPrEx>
          <w:tblCellMar>
            <w:top w:w="0" w:type="dxa"/>
            <w:left w:w="0" w:type="dxa"/>
            <w:bottom w:w="0" w:type="dxa"/>
            <w:right w:w="0" w:type="dxa"/>
          </w:tblCellMar>
        </w:tblPrEx>
        <w:trPr>
          <w:trHeight w:val="397" w:hRule="exact"/>
          <w:jc w:val="center"/>
        </w:trPr>
        <w:tc>
          <w:tcPr>
            <w:tcW w:w="5363" w:type="dxa"/>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rPr>
                <w:rFonts w:hint="eastAsia" w:ascii="仿宋" w:hAnsi="仿宋" w:eastAsia="仿宋"/>
                <w:szCs w:val="21"/>
              </w:rPr>
            </w:pPr>
            <w:r>
              <w:rPr>
                <w:rFonts w:hint="eastAsia" w:ascii="仿宋" w:hAnsi="仿宋" w:eastAsia="仿宋"/>
                <w:szCs w:val="21"/>
              </w:rPr>
              <w:t>6.其他表外项目</w:t>
            </w:r>
          </w:p>
        </w:tc>
        <w:tc>
          <w:tcPr>
            <w:tcW w:w="1620" w:type="dxa"/>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hint="eastAsia" w:ascii="仿宋" w:hAnsi="仿宋" w:eastAsia="仿宋"/>
                <w:szCs w:val="21"/>
              </w:rPr>
            </w:pPr>
            <w:r>
              <w:rPr>
                <w:rFonts w:hint="eastAsia" w:ascii="仿宋" w:hAnsi="仿宋" w:eastAsia="仿宋"/>
                <w:szCs w:val="21"/>
              </w:rPr>
              <w:t>100%</w:t>
            </w:r>
          </w:p>
        </w:tc>
      </w:tr>
    </w:tbl>
    <w:p>
      <w:pPr>
        <w:ind w:firstLine="420" w:firstLineChars="200"/>
        <w:rPr>
          <w:rFonts w:hint="eastAsia" w:ascii="仿宋" w:hAnsi="仿宋" w:eastAsia="仿宋"/>
          <w:szCs w:val="21"/>
        </w:rPr>
      </w:pPr>
      <w:r>
        <w:rPr>
          <w:rFonts w:ascii="仿宋" w:hAnsi="仿宋" w:eastAsia="仿宋"/>
          <w:szCs w:val="21"/>
        </w:rPr>
        <w:t>注：1.担保及等同于担保的或有项目，包括一般负债担保、信用增级、远期收购承诺等。其中，担保是指资产公司作为担保人和债权人约定，当债务人不履行债务时，担保人按照约定履行债务或者承担责任的行为；担保方式主要包括《担保法》所列的抵押、质押和保证；担保人以自身信用或特定财产为债务人提供担保，以保障债权实现。其他等同于担保的或有项目是指虽不符合“担保”的法定含义，但效力等同于担保的其他或有项目，例如提供信用增级服务。</w:t>
      </w:r>
    </w:p>
    <w:p>
      <w:pPr>
        <w:ind w:firstLine="420" w:firstLineChars="200"/>
        <w:rPr>
          <w:rFonts w:hint="eastAsia" w:ascii="仿宋" w:hAnsi="仿宋" w:eastAsia="仿宋"/>
          <w:szCs w:val="21"/>
        </w:rPr>
      </w:pPr>
      <w:r>
        <w:rPr>
          <w:rFonts w:ascii="仿宋" w:hAnsi="仿宋" w:eastAsia="仿宋"/>
          <w:szCs w:val="21"/>
        </w:rPr>
        <w:t>2.资产公司为子公司借款、发债等融资方式提供的流动性支持、安慰函、维好协议等，符合我国《担保法》规定的，应当填入“1.担保及等同于担保的或有项目”；不符合我国《担保法》规定，但资产公司基于声誉考虑，存在为子公司融资提供支持可能的，应当填入“6.其他表外项目”。</w:t>
      </w:r>
    </w:p>
    <w:p>
      <w:pPr>
        <w:rPr>
          <w:rFonts w:hint="eastAsia" w:ascii="仿宋" w:hAnsi="仿宋" w:eastAsia="仿宋"/>
          <w:szCs w:val="21"/>
        </w:rPr>
      </w:pPr>
    </w:p>
    <w:p>
      <w:pPr>
        <w:ind w:firstLine="420" w:firstLineChars="200"/>
        <w:rPr>
          <w:rFonts w:hint="eastAsia" w:ascii="仿宋" w:hAnsi="仿宋" w:eastAsia="仿宋"/>
          <w:b/>
          <w:szCs w:val="21"/>
        </w:rPr>
      </w:pPr>
      <w:r>
        <w:rPr>
          <w:rFonts w:ascii="仿宋" w:hAnsi="仿宋" w:eastAsia="仿宋"/>
          <w:bCs/>
          <w:szCs w:val="21"/>
        </w:rPr>
        <w:t>三、证券、商品、外汇交易清算过程中形成的风险暴露</w:t>
      </w:r>
    </w:p>
    <w:p>
      <w:pPr>
        <w:ind w:firstLine="420" w:firstLineChars="200"/>
        <w:rPr>
          <w:rFonts w:hint="eastAsia" w:ascii="仿宋" w:hAnsi="仿宋" w:eastAsia="仿宋"/>
          <w:b/>
          <w:szCs w:val="21"/>
        </w:rPr>
      </w:pPr>
      <w:r>
        <w:rPr>
          <w:rFonts w:ascii="仿宋" w:hAnsi="仿宋" w:eastAsia="仿宋"/>
          <w:bCs/>
          <w:szCs w:val="21"/>
        </w:rPr>
        <w:t>（一）货款对付模式下的信用风险加权资产计算</w:t>
      </w:r>
    </w:p>
    <w:p>
      <w:pPr>
        <w:ind w:firstLine="420" w:firstLineChars="200"/>
        <w:rPr>
          <w:rFonts w:hint="eastAsia" w:ascii="仿宋" w:hAnsi="仿宋" w:eastAsia="仿宋"/>
          <w:szCs w:val="21"/>
        </w:rPr>
      </w:pPr>
      <w:r>
        <w:rPr>
          <w:rFonts w:ascii="仿宋" w:hAnsi="仿宋" w:eastAsia="仿宋"/>
          <w:szCs w:val="21"/>
        </w:rPr>
        <w:t>1．货款对付模式</w:t>
      </w:r>
      <w:r>
        <w:rPr>
          <w:rFonts w:hint="eastAsia" w:ascii="仿宋" w:hAnsi="仿宋" w:eastAsia="仿宋"/>
          <w:szCs w:val="21"/>
        </w:rPr>
        <w:t>是</w:t>
      </w:r>
      <w:r>
        <w:rPr>
          <w:rFonts w:ascii="仿宋" w:hAnsi="仿宋" w:eastAsia="仿宋"/>
          <w:szCs w:val="21"/>
        </w:rPr>
        <w:t>指在结算日，证券和资金、资金和资金进行实时同步、最终一致、不可撤销的交收。</w:t>
      </w:r>
    </w:p>
    <w:p>
      <w:pPr>
        <w:ind w:firstLine="420" w:firstLineChars="200"/>
        <w:rPr>
          <w:rFonts w:hint="eastAsia" w:ascii="仿宋" w:hAnsi="仿宋" w:eastAsia="仿宋"/>
          <w:szCs w:val="21"/>
        </w:rPr>
      </w:pPr>
      <w:r>
        <w:rPr>
          <w:rFonts w:ascii="仿宋" w:hAnsi="仿宋" w:eastAsia="仿宋"/>
          <w:szCs w:val="21"/>
        </w:rPr>
        <w:t>2．货款对付模式下信用风险加权资产</w:t>
      </w:r>
      <w:r>
        <w:rPr>
          <w:rFonts w:hint="eastAsia" w:ascii="仿宋" w:hAnsi="仿宋" w:eastAsia="仿宋"/>
          <w:szCs w:val="21"/>
        </w:rPr>
        <w:t>的计算公式</w:t>
      </w:r>
      <w:r>
        <w:rPr>
          <w:rFonts w:ascii="仿宋" w:hAnsi="仿宋" w:eastAsia="仿宋"/>
          <w:szCs w:val="21"/>
        </w:rPr>
        <w:t>为</w:t>
      </w:r>
      <w:r>
        <w:rPr>
          <w:rFonts w:hint="eastAsia" w:ascii="仿宋" w:hAnsi="仿宋" w:eastAsia="仿宋"/>
          <w:szCs w:val="21"/>
        </w:rPr>
        <w:t>：</w:t>
      </w:r>
    </w:p>
    <w:p>
      <w:pPr>
        <w:ind w:firstLine="420" w:firstLineChars="200"/>
        <w:rPr>
          <w:rFonts w:hint="eastAsia" w:ascii="仿宋" w:hAnsi="仿宋" w:eastAsia="仿宋"/>
          <w:szCs w:val="21"/>
        </w:rPr>
      </w:pPr>
      <w:r>
        <w:rPr>
          <w:rFonts w:ascii="仿宋" w:hAnsi="仿宋" w:eastAsia="仿宋"/>
          <w:position w:val="-4"/>
          <w:szCs w:val="21"/>
        </w:rPr>
        <w:object>
          <v:shape id="_x0000_i1025" o:spt="75" type="#_x0000_t75" style="height:14.25pt;width:7.5pt;" o:ole="t" filled="f" o:preferrelative="t" stroked="f" coordsize="21600,21600">
            <v:path/>
            <v:fill on="f" focussize="0,0"/>
            <v:stroke on="f" joinstyle="miter"/>
            <v:imagedata r:id="rId38" o:title=""/>
            <o:lock v:ext="edit" aspectratio="t"/>
            <w10:wrap type="none"/>
            <w10:anchorlock/>
          </v:shape>
          <o:OLEObject Type="Embed" ProgID="Equation.DSMT4" ShapeID="_x0000_i1025" DrawAspect="Content" ObjectID="_1468075725" r:id="rId37">
            <o:LockedField>false</o:LockedField>
          </o:OLEObject>
        </w:object>
      </w:r>
      <w:r>
        <w:rPr>
          <w:rFonts w:ascii="仿宋" w:hAnsi="仿宋" w:eastAsia="仿宋"/>
          <w:szCs w:val="21"/>
        </w:rPr>
        <w:t>RWA=E×R×8</w:t>
      </w:r>
    </w:p>
    <w:p>
      <w:pPr>
        <w:ind w:firstLine="420" w:firstLineChars="200"/>
        <w:rPr>
          <w:rFonts w:hint="eastAsia" w:ascii="仿宋" w:hAnsi="仿宋" w:eastAsia="仿宋"/>
          <w:szCs w:val="21"/>
        </w:rPr>
      </w:pPr>
      <w:r>
        <w:rPr>
          <w:rFonts w:ascii="仿宋" w:hAnsi="仿宋" w:eastAsia="仿宋"/>
          <w:szCs w:val="21"/>
        </w:rPr>
        <w:t>其中：</w:t>
      </w:r>
    </w:p>
    <w:p>
      <w:pPr>
        <w:ind w:firstLine="420" w:firstLineChars="200"/>
        <w:rPr>
          <w:rFonts w:hint="eastAsia" w:ascii="仿宋" w:hAnsi="仿宋" w:eastAsia="仿宋"/>
          <w:szCs w:val="21"/>
        </w:rPr>
      </w:pPr>
      <w:r>
        <w:rPr>
          <w:rFonts w:ascii="仿宋" w:hAnsi="仿宋" w:eastAsia="仿宋"/>
          <w:szCs w:val="21"/>
        </w:rPr>
        <w:t>（1）</w:t>
      </w:r>
      <w:r>
        <w:rPr>
          <w:rFonts w:ascii="仿宋" w:hAnsi="仿宋" w:eastAsia="仿宋"/>
          <w:position w:val="-6"/>
          <w:szCs w:val="21"/>
        </w:rPr>
        <w:object>
          <v:shape id="_x0000_i1026" o:spt="75" type="#_x0000_t75" style="height:14.25pt;width:36pt;" o:ole="t" filled="f" o:preferrelative="t" stroked="f" coordsize="21600,21600">
            <v:path/>
            <v:fill on="f" focussize="0,0"/>
            <v:stroke on="f" joinstyle="miter"/>
            <v:imagedata r:id="rId40" o:title=""/>
            <o:lock v:ext="edit" aspectratio="t"/>
            <w10:wrap type="none"/>
            <w10:anchorlock/>
          </v:shape>
          <o:OLEObject Type="Embed" ProgID="Equation.DSMT4" ShapeID="_x0000_i1026" DrawAspect="Content" ObjectID="_1468075726" r:id="rId39">
            <o:LockedField>false</o:LockedField>
          </o:OLEObject>
        </w:object>
      </w:r>
      <w:r>
        <w:rPr>
          <w:rFonts w:ascii="仿宋" w:hAnsi="仿宋" w:eastAsia="仿宋"/>
          <w:szCs w:val="21"/>
        </w:rPr>
        <w:t>为货款对付模式下信用风险加权资产；</w:t>
      </w:r>
    </w:p>
    <w:p>
      <w:pPr>
        <w:ind w:firstLine="420" w:firstLineChars="200"/>
        <w:rPr>
          <w:rFonts w:hint="eastAsia" w:ascii="仿宋" w:hAnsi="仿宋" w:eastAsia="仿宋"/>
          <w:szCs w:val="21"/>
        </w:rPr>
      </w:pPr>
      <w:r>
        <w:rPr>
          <w:rFonts w:ascii="仿宋" w:hAnsi="仿宋" w:eastAsia="仿宋"/>
          <w:szCs w:val="21"/>
        </w:rPr>
        <w:t>（2）</w:t>
      </w:r>
      <w:r>
        <w:rPr>
          <w:rFonts w:ascii="仿宋" w:hAnsi="仿宋" w:eastAsia="仿宋"/>
          <w:position w:val="-4"/>
          <w:szCs w:val="21"/>
        </w:rPr>
        <w:object>
          <v:shape id="_x0000_i1027" o:spt="75" type="#_x0000_t75" style="height:14.25pt;width:14.25pt;" o:ole="t" filled="f" o:preferrelative="t" stroked="f" coordsize="21600,21600">
            <v:path/>
            <v:fill on="f" focussize="0,0"/>
            <v:stroke on="f" joinstyle="miter"/>
            <v:imagedata r:id="rId42" o:title=""/>
            <o:lock v:ext="edit" aspectratio="t"/>
            <w10:wrap type="none"/>
            <w10:anchorlock/>
          </v:shape>
          <o:OLEObject Type="Embed" ProgID="Equation.DSMT4" ShapeID="_x0000_i1027" DrawAspect="Content" ObjectID="_1468075727" r:id="rId41">
            <o:LockedField>false</o:LockedField>
          </o:OLEObject>
        </w:object>
      </w:r>
      <w:r>
        <w:rPr>
          <w:rFonts w:ascii="仿宋" w:hAnsi="仿宋" w:eastAsia="仿宋"/>
          <w:szCs w:val="21"/>
        </w:rPr>
        <w:t>为货款对付模式下，因合约结算价格与当期市场价格差异而产生的风险暴露；</w:t>
      </w:r>
    </w:p>
    <w:p>
      <w:pPr>
        <w:ind w:firstLine="420" w:firstLineChars="200"/>
        <w:rPr>
          <w:rFonts w:hint="eastAsia" w:ascii="仿宋" w:hAnsi="仿宋" w:eastAsia="仿宋"/>
          <w:szCs w:val="21"/>
        </w:rPr>
      </w:pPr>
      <w:r>
        <w:rPr>
          <w:rFonts w:ascii="仿宋" w:hAnsi="仿宋" w:eastAsia="仿宋"/>
          <w:szCs w:val="21"/>
        </w:rPr>
        <w:t>（3）</w:t>
      </w:r>
      <w:r>
        <w:rPr>
          <w:rFonts w:ascii="仿宋" w:hAnsi="仿宋" w:eastAsia="仿宋"/>
          <w:i/>
          <w:szCs w:val="21"/>
        </w:rPr>
        <w:t>R</w:t>
      </w:r>
      <w:r>
        <w:rPr>
          <w:rFonts w:ascii="仿宋" w:hAnsi="仿宋" w:eastAsia="仿宋"/>
          <w:szCs w:val="21"/>
        </w:rPr>
        <w:t>为与延迟交易时间相关的资本计提比例，具体见表3。</w:t>
      </w:r>
    </w:p>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p>
    <w:p>
      <w:pPr>
        <w:jc w:val="center"/>
        <w:rPr>
          <w:rFonts w:hint="eastAsia" w:ascii="仿宋" w:hAnsi="仿宋" w:eastAsia="仿宋"/>
          <w:b/>
          <w:szCs w:val="21"/>
        </w:rPr>
      </w:pPr>
      <w:r>
        <w:rPr>
          <w:rFonts w:ascii="仿宋" w:hAnsi="仿宋" w:eastAsia="仿宋"/>
          <w:bCs/>
          <w:szCs w:val="21"/>
        </w:rPr>
        <w:t>表3：货款对付模式下交易对手信用风险资本计提比例</w:t>
      </w:r>
    </w:p>
    <w:p>
      <w:pPr>
        <w:jc w:val="center"/>
        <w:rPr>
          <w:rFonts w:hint="eastAsia" w:ascii="仿宋" w:hAnsi="仿宋" w:eastAsia="仿宋"/>
          <w:b/>
          <w:szCs w:val="21"/>
        </w:rPr>
      </w:pPr>
    </w:p>
    <w:tbl>
      <w:tblPr>
        <w:tblStyle w:val="42"/>
        <w:tblW w:w="70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7" w:hRule="exact"/>
          <w:jc w:val="center"/>
        </w:trPr>
        <w:tc>
          <w:tcPr>
            <w:tcW w:w="4500" w:type="dxa"/>
            <w:vAlign w:val="center"/>
          </w:tcPr>
          <w:p>
            <w:pPr>
              <w:pStyle w:val="371"/>
              <w:ind w:right="-134" w:rightChars="-64"/>
              <w:jc w:val="center"/>
              <w:rPr>
                <w:rFonts w:hint="eastAsia" w:ascii="仿宋" w:hAnsi="仿宋" w:eastAsia="仿宋" w:cs="Times New Roman"/>
                <w:bCs/>
                <w:kern w:val="2"/>
                <w:sz w:val="21"/>
                <w:szCs w:val="21"/>
              </w:rPr>
            </w:pPr>
            <w:r>
              <w:rPr>
                <w:rFonts w:hint="eastAsia" w:ascii="仿宋" w:hAnsi="仿宋" w:eastAsia="仿宋" w:cs="Times New Roman"/>
                <w:bCs/>
                <w:kern w:val="2"/>
                <w:sz w:val="21"/>
                <w:szCs w:val="21"/>
              </w:rPr>
              <w:t>自合约结算日起延迟交易的交易日数</w:t>
            </w:r>
          </w:p>
        </w:tc>
        <w:tc>
          <w:tcPr>
            <w:tcW w:w="2520" w:type="dxa"/>
            <w:vAlign w:val="center"/>
          </w:tcPr>
          <w:p>
            <w:pPr>
              <w:pStyle w:val="371"/>
              <w:jc w:val="center"/>
              <w:rPr>
                <w:rFonts w:hint="eastAsia" w:ascii="仿宋" w:hAnsi="仿宋" w:eastAsia="仿宋" w:cs="Times New Roman"/>
                <w:bCs/>
                <w:kern w:val="2"/>
                <w:sz w:val="21"/>
                <w:szCs w:val="21"/>
              </w:rPr>
            </w:pPr>
            <w:r>
              <w:rPr>
                <w:rFonts w:hint="eastAsia" w:ascii="仿宋" w:hAnsi="仿宋" w:eastAsia="仿宋" w:cs="Times New Roman"/>
                <w:bCs/>
                <w:kern w:val="2"/>
                <w:sz w:val="21"/>
                <w:szCs w:val="21"/>
              </w:rPr>
              <w:t>资本计提比例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450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4（含）个交易日以内</w:t>
            </w:r>
          </w:p>
        </w:tc>
        <w:tc>
          <w:tcPr>
            <w:tcW w:w="252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450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5至15（含）个交易日之间</w:t>
            </w:r>
          </w:p>
        </w:tc>
        <w:tc>
          <w:tcPr>
            <w:tcW w:w="252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450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16至30（含）个交易日之间</w:t>
            </w:r>
          </w:p>
        </w:tc>
        <w:tc>
          <w:tcPr>
            <w:tcW w:w="252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450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31至45（含）个交易日之间</w:t>
            </w:r>
          </w:p>
        </w:tc>
        <w:tc>
          <w:tcPr>
            <w:tcW w:w="252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450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46（含）个交易日以上</w:t>
            </w:r>
          </w:p>
        </w:tc>
        <w:tc>
          <w:tcPr>
            <w:tcW w:w="2520" w:type="dxa"/>
            <w:vAlign w:val="center"/>
          </w:tcPr>
          <w:p>
            <w:pPr>
              <w:pStyle w:val="372"/>
              <w:ind w:firstLine="420" w:firstLineChars="200"/>
              <w:jc w:val="center"/>
              <w:rPr>
                <w:rFonts w:hint="eastAsia" w:ascii="仿宋" w:hAnsi="仿宋" w:eastAsia="仿宋" w:cs="Times New Roman"/>
                <w:color w:val="auto"/>
                <w:kern w:val="2"/>
                <w:sz w:val="21"/>
                <w:szCs w:val="21"/>
              </w:rPr>
            </w:pPr>
            <w:r>
              <w:rPr>
                <w:rFonts w:hint="eastAsia" w:ascii="仿宋" w:hAnsi="仿宋" w:eastAsia="仿宋" w:cs="Times New Roman"/>
                <w:color w:val="auto"/>
                <w:kern w:val="2"/>
                <w:sz w:val="21"/>
                <w:szCs w:val="21"/>
              </w:rPr>
              <w:t>100%</w:t>
            </w:r>
          </w:p>
        </w:tc>
      </w:tr>
    </w:tbl>
    <w:p>
      <w:pPr>
        <w:ind w:firstLine="422" w:firstLineChars="200"/>
        <w:rPr>
          <w:rFonts w:hint="eastAsia" w:ascii="仿宋" w:hAnsi="仿宋" w:eastAsia="仿宋"/>
          <w:b/>
          <w:szCs w:val="21"/>
        </w:rPr>
      </w:pPr>
    </w:p>
    <w:p>
      <w:pPr>
        <w:ind w:firstLine="420" w:firstLineChars="200"/>
        <w:rPr>
          <w:rFonts w:hint="eastAsia" w:ascii="仿宋" w:hAnsi="仿宋" w:eastAsia="仿宋"/>
          <w:bCs/>
          <w:szCs w:val="21"/>
        </w:rPr>
      </w:pPr>
      <w:r>
        <w:rPr>
          <w:rFonts w:ascii="仿宋" w:hAnsi="仿宋" w:eastAsia="仿宋"/>
          <w:bCs/>
          <w:szCs w:val="21"/>
        </w:rPr>
        <w:t>（二）非货款对付模式下信用风险加权资产计算</w:t>
      </w:r>
    </w:p>
    <w:p>
      <w:pPr>
        <w:ind w:firstLine="420" w:firstLineChars="200"/>
        <w:rPr>
          <w:rFonts w:hint="eastAsia" w:ascii="仿宋" w:hAnsi="仿宋" w:eastAsia="仿宋"/>
          <w:szCs w:val="21"/>
        </w:rPr>
      </w:pPr>
      <w:r>
        <w:rPr>
          <w:rFonts w:ascii="仿宋" w:hAnsi="仿宋" w:eastAsia="仿宋"/>
          <w:szCs w:val="21"/>
        </w:rPr>
        <w:t>非货款对付模式下，因填报机构已执行支付，而交易对手未在约定日期支付而产生的风险暴露：自填报机构执行支付之日起，交易对手未支付部分视同对该交易对手的债权进行处理；自交易对手应履行支付义务之日起，5个交易日后，交易对手仍未支付部分的风险权重为800%。</w:t>
      </w:r>
    </w:p>
    <w:p>
      <w:pPr>
        <w:ind w:firstLine="420" w:firstLineChars="200"/>
        <w:rPr>
          <w:rFonts w:hint="eastAsia" w:ascii="仿宋" w:hAnsi="仿宋" w:eastAsia="仿宋"/>
          <w:szCs w:val="21"/>
        </w:rPr>
      </w:pPr>
    </w:p>
    <w:p>
      <w:pPr>
        <w:ind w:firstLine="420" w:firstLineChars="200"/>
        <w:rPr>
          <w:rFonts w:hint="eastAsia" w:ascii="仿宋" w:hAnsi="仿宋" w:eastAsia="仿宋"/>
          <w:b/>
          <w:szCs w:val="21"/>
        </w:rPr>
      </w:pPr>
      <w:r>
        <w:rPr>
          <w:rFonts w:ascii="仿宋" w:hAnsi="仿宋" w:eastAsia="仿宋"/>
          <w:bCs/>
          <w:szCs w:val="21"/>
        </w:rPr>
        <w:t>四、合格信用风险缓释工具</w:t>
      </w:r>
    </w:p>
    <w:p>
      <w:pPr>
        <w:ind w:firstLine="422" w:firstLineChars="200"/>
        <w:rPr>
          <w:rFonts w:hint="eastAsia" w:ascii="仿宋" w:hAnsi="仿宋" w:eastAsia="仿宋"/>
          <w:b/>
          <w:szCs w:val="21"/>
        </w:rPr>
      </w:pPr>
    </w:p>
    <w:p>
      <w:pPr>
        <w:ind w:firstLine="422" w:firstLineChars="200"/>
        <w:rPr>
          <w:rFonts w:hint="eastAsia" w:ascii="仿宋" w:hAnsi="仿宋" w:eastAsia="仿宋"/>
          <w:b/>
          <w:szCs w:val="21"/>
        </w:rPr>
      </w:pPr>
    </w:p>
    <w:p>
      <w:pPr>
        <w:ind w:firstLine="422" w:firstLineChars="200"/>
        <w:rPr>
          <w:rFonts w:hint="eastAsia" w:ascii="仿宋" w:hAnsi="仿宋" w:eastAsia="仿宋"/>
          <w:b/>
          <w:szCs w:val="21"/>
        </w:rPr>
      </w:pPr>
    </w:p>
    <w:p>
      <w:pPr>
        <w:ind w:firstLine="422" w:firstLineChars="200"/>
        <w:rPr>
          <w:rFonts w:hint="eastAsia" w:ascii="仿宋" w:hAnsi="仿宋" w:eastAsia="仿宋"/>
          <w:b/>
          <w:szCs w:val="21"/>
        </w:rPr>
      </w:pPr>
    </w:p>
    <w:p>
      <w:pPr>
        <w:ind w:firstLine="422" w:firstLineChars="200"/>
        <w:rPr>
          <w:rFonts w:hint="eastAsia" w:ascii="仿宋" w:hAnsi="仿宋" w:eastAsia="仿宋"/>
          <w:b/>
          <w:szCs w:val="21"/>
        </w:rPr>
      </w:pPr>
    </w:p>
    <w:p>
      <w:pPr>
        <w:ind w:firstLine="422" w:firstLineChars="200"/>
        <w:rPr>
          <w:rFonts w:hint="eastAsia" w:ascii="仿宋" w:hAnsi="仿宋" w:eastAsia="仿宋"/>
          <w:b/>
          <w:szCs w:val="21"/>
        </w:rPr>
      </w:pPr>
    </w:p>
    <w:p>
      <w:pPr>
        <w:ind w:firstLine="422" w:firstLineChars="200"/>
        <w:rPr>
          <w:rFonts w:hint="eastAsia" w:ascii="仿宋" w:hAnsi="仿宋" w:eastAsia="仿宋"/>
          <w:b/>
          <w:szCs w:val="21"/>
        </w:rPr>
      </w:pPr>
    </w:p>
    <w:p>
      <w:pPr>
        <w:ind w:firstLine="422" w:firstLineChars="200"/>
        <w:rPr>
          <w:rFonts w:hint="eastAsia" w:ascii="仿宋" w:hAnsi="仿宋" w:eastAsia="仿宋"/>
          <w:b/>
          <w:szCs w:val="21"/>
        </w:rPr>
      </w:pPr>
    </w:p>
    <w:p>
      <w:pPr>
        <w:jc w:val="center"/>
        <w:rPr>
          <w:rFonts w:hint="eastAsia" w:ascii="仿宋" w:hAnsi="仿宋" w:eastAsia="仿宋"/>
          <w:b/>
          <w:szCs w:val="21"/>
        </w:rPr>
      </w:pPr>
      <w:r>
        <w:rPr>
          <w:rFonts w:ascii="仿宋" w:hAnsi="仿宋" w:eastAsia="仿宋"/>
          <w:bCs/>
          <w:szCs w:val="21"/>
        </w:rPr>
        <w:t>表4：合格信用风险缓释工具的种类</w:t>
      </w:r>
    </w:p>
    <w:tbl>
      <w:tblPr>
        <w:tblStyle w:val="42"/>
        <w:tblW w:w="8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5"/>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1205" w:type="dxa"/>
            <w:vAlign w:val="center"/>
          </w:tcPr>
          <w:p>
            <w:pPr>
              <w:jc w:val="center"/>
              <w:rPr>
                <w:rFonts w:hint="eastAsia" w:ascii="仿宋" w:hAnsi="仿宋" w:eastAsia="仿宋"/>
                <w:szCs w:val="21"/>
              </w:rPr>
            </w:pPr>
            <w:r>
              <w:rPr>
                <w:rFonts w:hint="eastAsia" w:ascii="仿宋" w:hAnsi="仿宋" w:eastAsia="仿宋"/>
                <w:szCs w:val="21"/>
              </w:rPr>
              <w:t>信用风险缓释工具</w:t>
            </w:r>
          </w:p>
        </w:tc>
        <w:tc>
          <w:tcPr>
            <w:tcW w:w="7543" w:type="dxa"/>
            <w:vAlign w:val="center"/>
          </w:tcPr>
          <w:p>
            <w:pPr>
              <w:jc w:val="center"/>
              <w:rPr>
                <w:rFonts w:hint="eastAsia" w:ascii="仿宋" w:hAnsi="仿宋" w:eastAsia="仿宋"/>
                <w:szCs w:val="21"/>
              </w:rPr>
            </w:pPr>
            <w:r>
              <w:rPr>
                <w:rFonts w:hint="eastAsia" w:ascii="仿宋" w:hAnsi="仿宋" w:eastAsia="仿宋"/>
                <w:szCs w:val="21"/>
              </w:rPr>
              <w:t>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60" w:hRule="atLeast"/>
          <w:jc w:val="center"/>
        </w:trPr>
        <w:tc>
          <w:tcPr>
            <w:tcW w:w="1205" w:type="dxa"/>
            <w:vAlign w:val="center"/>
          </w:tcPr>
          <w:p>
            <w:pPr>
              <w:jc w:val="center"/>
              <w:rPr>
                <w:rFonts w:hint="eastAsia" w:ascii="仿宋" w:hAnsi="仿宋" w:eastAsia="仿宋"/>
                <w:szCs w:val="21"/>
              </w:rPr>
            </w:pPr>
            <w:r>
              <w:rPr>
                <w:rFonts w:hint="eastAsia" w:ascii="仿宋" w:hAnsi="仿宋" w:eastAsia="仿宋"/>
                <w:szCs w:val="21"/>
              </w:rPr>
              <w:t>质物</w:t>
            </w:r>
          </w:p>
        </w:tc>
        <w:tc>
          <w:tcPr>
            <w:tcW w:w="7543" w:type="dxa"/>
          </w:tcPr>
          <w:p>
            <w:pPr>
              <w:rPr>
                <w:rFonts w:hint="eastAsia" w:ascii="仿宋" w:hAnsi="仿宋" w:eastAsia="仿宋"/>
                <w:szCs w:val="21"/>
              </w:rPr>
            </w:pPr>
            <w:r>
              <w:rPr>
                <w:rFonts w:hint="eastAsia" w:ascii="仿宋" w:hAnsi="仿宋" w:eastAsia="仿宋"/>
                <w:szCs w:val="21"/>
              </w:rPr>
              <w:t>（一）以特户、封金或保证金等形式特定化后的现金；</w:t>
            </w:r>
          </w:p>
          <w:p>
            <w:pPr>
              <w:rPr>
                <w:rFonts w:hint="eastAsia" w:ascii="仿宋" w:hAnsi="仿宋" w:eastAsia="仿宋"/>
                <w:szCs w:val="21"/>
              </w:rPr>
            </w:pPr>
            <w:r>
              <w:rPr>
                <w:rFonts w:hint="eastAsia" w:ascii="仿宋" w:hAnsi="仿宋" w:eastAsia="仿宋"/>
                <w:szCs w:val="21"/>
              </w:rPr>
              <w:t>（二）黄金；</w:t>
            </w:r>
          </w:p>
          <w:p>
            <w:pPr>
              <w:rPr>
                <w:rFonts w:hint="eastAsia" w:ascii="仿宋" w:hAnsi="仿宋" w:eastAsia="仿宋"/>
                <w:szCs w:val="21"/>
              </w:rPr>
            </w:pPr>
            <w:r>
              <w:rPr>
                <w:rFonts w:hint="eastAsia" w:ascii="仿宋" w:hAnsi="仿宋" w:eastAsia="仿宋"/>
                <w:szCs w:val="21"/>
              </w:rPr>
              <w:t>（三）银行存单；</w:t>
            </w:r>
          </w:p>
          <w:p>
            <w:pPr>
              <w:rPr>
                <w:rFonts w:hint="eastAsia" w:ascii="仿宋" w:hAnsi="仿宋" w:eastAsia="仿宋"/>
                <w:szCs w:val="21"/>
              </w:rPr>
            </w:pPr>
            <w:r>
              <w:rPr>
                <w:rFonts w:hint="eastAsia" w:ascii="仿宋" w:hAnsi="仿宋" w:eastAsia="仿宋"/>
                <w:szCs w:val="21"/>
              </w:rPr>
              <w:t>（四）我国财政部发行的国债；</w:t>
            </w:r>
          </w:p>
          <w:p>
            <w:pPr>
              <w:rPr>
                <w:rFonts w:hint="eastAsia" w:ascii="仿宋" w:hAnsi="仿宋" w:eastAsia="仿宋"/>
                <w:szCs w:val="21"/>
              </w:rPr>
            </w:pPr>
            <w:r>
              <w:rPr>
                <w:rFonts w:hint="eastAsia" w:ascii="仿宋" w:hAnsi="仿宋" w:eastAsia="仿宋"/>
                <w:szCs w:val="21"/>
              </w:rPr>
              <w:t>（五）中国人民银行发行的票据；</w:t>
            </w:r>
          </w:p>
          <w:p>
            <w:pPr>
              <w:rPr>
                <w:rFonts w:hint="eastAsia" w:ascii="仿宋" w:hAnsi="仿宋" w:eastAsia="仿宋"/>
                <w:szCs w:val="21"/>
              </w:rPr>
            </w:pPr>
            <w:r>
              <w:rPr>
                <w:rFonts w:hint="eastAsia" w:ascii="仿宋" w:hAnsi="仿宋" w:eastAsia="仿宋"/>
                <w:szCs w:val="21"/>
              </w:rPr>
              <w:t>（六）我国政策性银行、公共部门实体、商业银行发行的债券、票据和承兑的汇票；</w:t>
            </w:r>
          </w:p>
          <w:p>
            <w:pPr>
              <w:rPr>
                <w:rFonts w:hint="eastAsia" w:ascii="仿宋" w:hAnsi="仿宋" w:eastAsia="仿宋"/>
                <w:szCs w:val="21"/>
              </w:rPr>
            </w:pPr>
            <w:r>
              <w:rPr>
                <w:rFonts w:hint="eastAsia" w:ascii="仿宋" w:hAnsi="仿宋" w:eastAsia="仿宋"/>
                <w:szCs w:val="21"/>
              </w:rPr>
              <w:t>（七）金融资产管理公司为收购国有银行不良贷款而定向发行的债券；</w:t>
            </w:r>
          </w:p>
          <w:p>
            <w:pPr>
              <w:rPr>
                <w:rFonts w:hint="eastAsia" w:ascii="仿宋" w:hAnsi="仿宋" w:eastAsia="仿宋"/>
                <w:szCs w:val="21"/>
              </w:rPr>
            </w:pPr>
            <w:r>
              <w:rPr>
                <w:rFonts w:hint="eastAsia" w:ascii="仿宋" w:hAnsi="仿宋" w:eastAsia="仿宋"/>
                <w:szCs w:val="21"/>
              </w:rPr>
              <w:t>（八）评级为BBB-（含BBB-）以上国家或地区政府和中央银行发行的债券；</w:t>
            </w:r>
          </w:p>
          <w:p>
            <w:pPr>
              <w:rPr>
                <w:rFonts w:hint="eastAsia" w:ascii="仿宋" w:hAnsi="仿宋" w:eastAsia="仿宋"/>
                <w:szCs w:val="21"/>
              </w:rPr>
            </w:pPr>
            <w:r>
              <w:rPr>
                <w:rFonts w:hint="eastAsia" w:ascii="仿宋" w:hAnsi="仿宋" w:eastAsia="仿宋"/>
                <w:szCs w:val="21"/>
              </w:rPr>
              <w:t>（九）注册地所在国家或地区的评级在A-（含A-）以上的境外商业银行和公共部门实体发行的债券、票据和承兑的汇票；</w:t>
            </w:r>
          </w:p>
          <w:p>
            <w:pPr>
              <w:rPr>
                <w:rFonts w:hint="eastAsia" w:ascii="仿宋" w:hAnsi="仿宋" w:eastAsia="仿宋"/>
                <w:szCs w:val="21"/>
              </w:rPr>
            </w:pPr>
            <w:r>
              <w:rPr>
                <w:rFonts w:hint="eastAsia" w:ascii="仿宋" w:hAnsi="仿宋" w:eastAsia="仿宋"/>
                <w:szCs w:val="21"/>
              </w:rPr>
              <w:t>（十）多边开发银行、国际清算银行和国际货币基金组织发行的债券。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5" w:type="dxa"/>
            <w:vAlign w:val="center"/>
          </w:tcPr>
          <w:p>
            <w:pPr>
              <w:ind w:firstLine="50" w:firstLineChars="24"/>
              <w:jc w:val="center"/>
              <w:rPr>
                <w:rFonts w:hint="eastAsia" w:ascii="仿宋" w:hAnsi="仿宋" w:eastAsia="仿宋"/>
                <w:szCs w:val="21"/>
              </w:rPr>
            </w:pPr>
            <w:r>
              <w:rPr>
                <w:rFonts w:hint="eastAsia" w:ascii="仿宋" w:hAnsi="仿宋" w:eastAsia="仿宋"/>
                <w:szCs w:val="21"/>
              </w:rPr>
              <w:t>保证</w:t>
            </w:r>
          </w:p>
        </w:tc>
        <w:tc>
          <w:tcPr>
            <w:tcW w:w="7543" w:type="dxa"/>
          </w:tcPr>
          <w:p>
            <w:pPr>
              <w:rPr>
                <w:rFonts w:hint="eastAsia" w:ascii="仿宋" w:hAnsi="仿宋" w:eastAsia="仿宋"/>
                <w:szCs w:val="21"/>
              </w:rPr>
            </w:pPr>
            <w:r>
              <w:rPr>
                <w:rFonts w:hint="eastAsia" w:ascii="仿宋" w:hAnsi="仿宋" w:eastAsia="仿宋"/>
                <w:szCs w:val="21"/>
              </w:rPr>
              <w:t>（一）我国中央政府、中国人民银行、政策性银行、公共部门实体和商业银行；</w:t>
            </w:r>
          </w:p>
          <w:p>
            <w:pPr>
              <w:rPr>
                <w:rFonts w:hint="eastAsia" w:ascii="仿宋" w:hAnsi="仿宋" w:eastAsia="仿宋"/>
                <w:szCs w:val="21"/>
              </w:rPr>
            </w:pPr>
            <w:r>
              <w:rPr>
                <w:rFonts w:hint="eastAsia" w:ascii="仿宋" w:hAnsi="仿宋" w:eastAsia="仿宋"/>
                <w:szCs w:val="21"/>
              </w:rPr>
              <w:t>（二）评级为BBB-（含BBB-）以上国家或地区政府和中央银行；</w:t>
            </w:r>
          </w:p>
          <w:p>
            <w:pPr>
              <w:rPr>
                <w:rFonts w:hint="eastAsia" w:ascii="仿宋" w:hAnsi="仿宋" w:eastAsia="仿宋"/>
                <w:szCs w:val="21"/>
              </w:rPr>
            </w:pPr>
            <w:r>
              <w:rPr>
                <w:rFonts w:hint="eastAsia" w:ascii="仿宋" w:hAnsi="仿宋" w:eastAsia="仿宋"/>
                <w:szCs w:val="21"/>
              </w:rPr>
              <w:t>（三）注册地所在国家或地区的评级在A-（含A-）以上的境外商业银行和公共部门实体；</w:t>
            </w:r>
          </w:p>
          <w:p>
            <w:pPr>
              <w:rPr>
                <w:rFonts w:hint="eastAsia" w:ascii="仿宋" w:hAnsi="仿宋" w:eastAsia="仿宋"/>
                <w:szCs w:val="21"/>
              </w:rPr>
            </w:pPr>
            <w:r>
              <w:rPr>
                <w:rFonts w:hint="eastAsia" w:ascii="仿宋" w:hAnsi="仿宋" w:eastAsia="仿宋"/>
                <w:szCs w:val="21"/>
              </w:rPr>
              <w:t>（四）多边开发银行、国际清算银行和国际货币基金组织。</w:t>
            </w:r>
          </w:p>
        </w:tc>
      </w:tr>
    </w:tbl>
    <w:p>
      <w:pPr>
        <w:rPr>
          <w:rFonts w:hint="eastAsia" w:ascii="仿宋" w:hAnsi="仿宋" w:eastAsia="仿宋"/>
          <w:szCs w:val="21"/>
        </w:rPr>
      </w:pPr>
    </w:p>
    <w:p>
      <w:pPr>
        <w:rPr>
          <w:rFonts w:hint="eastAsia" w:ascii="仿宋" w:hAnsi="仿宋" w:eastAsia="仿宋"/>
          <w:szCs w:val="21"/>
        </w:rPr>
      </w:pPr>
    </w:p>
    <w:p>
      <w:pPr>
        <w:rPr>
          <w:rFonts w:hint="eastAsia" w:ascii="仿宋" w:hAnsi="仿宋" w:eastAsia="仿宋" w:cs="仿宋_GB2312"/>
          <w:b/>
          <w:szCs w:val="21"/>
        </w:rPr>
      </w:pPr>
      <w:r>
        <w:rPr>
          <w:rFonts w:ascii="仿宋" w:hAnsi="仿宋" w:eastAsia="仿宋"/>
        </w:rPr>
        <w:br w:type="page"/>
      </w:r>
      <w:r>
        <w:rPr>
          <w:rFonts w:hint="eastAsia" w:ascii="仿宋" w:hAnsi="仿宋" w:eastAsia="仿宋" w:cs="仿宋_GB2312"/>
          <w:b/>
          <w:szCs w:val="21"/>
        </w:rPr>
        <w:t>附件2</w:t>
      </w:r>
    </w:p>
    <w:p>
      <w:pPr>
        <w:rPr>
          <w:rFonts w:hint="eastAsia" w:ascii="仿宋" w:hAnsi="仿宋" w:eastAsia="仿宋"/>
          <w:b/>
          <w:szCs w:val="21"/>
        </w:rPr>
      </w:pPr>
    </w:p>
    <w:p>
      <w:pPr>
        <w:jc w:val="center"/>
        <w:rPr>
          <w:rFonts w:hint="eastAsia" w:ascii="仿宋" w:hAnsi="仿宋" w:eastAsia="仿宋"/>
          <w:b/>
          <w:szCs w:val="21"/>
        </w:rPr>
      </w:pPr>
      <w:r>
        <w:rPr>
          <w:rFonts w:ascii="仿宋" w:hAnsi="仿宋" w:eastAsia="仿宋"/>
          <w:bCs/>
          <w:szCs w:val="21"/>
        </w:rPr>
        <w:t>资产证券化风险加权资产计量规则</w:t>
      </w:r>
    </w:p>
    <w:p>
      <w:pPr>
        <w:ind w:left="420"/>
        <w:rPr>
          <w:rFonts w:hint="eastAsia" w:ascii="仿宋" w:hAnsi="仿宋" w:eastAsia="仿宋"/>
          <w:b/>
          <w:bCs/>
          <w:szCs w:val="21"/>
        </w:rPr>
      </w:pPr>
    </w:p>
    <w:p>
      <w:pPr>
        <w:ind w:firstLine="415" w:firstLineChars="198"/>
        <w:rPr>
          <w:rFonts w:hint="eastAsia" w:ascii="仿宋" w:hAnsi="仿宋" w:eastAsia="仿宋"/>
          <w:b/>
          <w:szCs w:val="21"/>
        </w:rPr>
      </w:pPr>
      <w:r>
        <w:rPr>
          <w:rFonts w:ascii="仿宋" w:hAnsi="仿宋" w:eastAsia="仿宋"/>
          <w:bCs/>
          <w:szCs w:val="21"/>
        </w:rPr>
        <w:t>一、总体要求</w:t>
      </w:r>
    </w:p>
    <w:p>
      <w:pPr>
        <w:ind w:firstLine="420" w:firstLineChars="200"/>
        <w:rPr>
          <w:rFonts w:hint="eastAsia" w:ascii="仿宋" w:hAnsi="仿宋" w:eastAsia="仿宋"/>
          <w:szCs w:val="21"/>
        </w:rPr>
      </w:pPr>
      <w:r>
        <w:rPr>
          <w:rFonts w:ascii="仿宋" w:hAnsi="仿宋" w:eastAsia="仿宋"/>
          <w:szCs w:val="21"/>
        </w:rPr>
        <w:t>（一）资产证券化交易包括传统型资产证券化、合成型资产证券化以及兼具两种类型共同特点的资产证券化交易。</w:t>
      </w:r>
    </w:p>
    <w:p>
      <w:pPr>
        <w:ind w:firstLine="420" w:firstLineChars="200"/>
        <w:rPr>
          <w:rFonts w:hint="eastAsia" w:ascii="仿宋" w:hAnsi="仿宋" w:eastAsia="仿宋"/>
          <w:szCs w:val="21"/>
        </w:rPr>
      </w:pPr>
      <w:r>
        <w:rPr>
          <w:rFonts w:ascii="仿宋" w:hAnsi="仿宋" w:eastAsia="仿宋"/>
          <w:szCs w:val="21"/>
        </w:rPr>
        <w:t>传统型资产证券化是指基础资产的信用风险通过资产转让、信托等方式全部或部分转移给投资者，基础资产的现金流用以支付至少两个不同信用风险档次的证券的资产证券化交易。</w:t>
      </w:r>
    </w:p>
    <w:p>
      <w:pPr>
        <w:ind w:firstLine="420" w:firstLineChars="200"/>
        <w:rPr>
          <w:rFonts w:hint="eastAsia" w:ascii="仿宋" w:hAnsi="仿宋" w:eastAsia="仿宋"/>
          <w:szCs w:val="21"/>
        </w:rPr>
      </w:pPr>
      <w:r>
        <w:rPr>
          <w:rFonts w:ascii="仿宋" w:hAnsi="仿宋" w:eastAsia="仿宋"/>
          <w:szCs w:val="21"/>
        </w:rPr>
        <w:t>合成型资产证券化是指基础资产的信用风险通过信用衍生工具或者保证全部或部分转移给投资者的资产证券化交易。该交易结构中至少具有两个不同信用风险档次的证券。信用衍生工具包括资金来源预置型和资金来源非预置型两种类型。</w:t>
      </w:r>
    </w:p>
    <w:p>
      <w:pPr>
        <w:ind w:firstLine="420" w:firstLineChars="200"/>
        <w:rPr>
          <w:rFonts w:hint="eastAsia" w:ascii="仿宋" w:hAnsi="仿宋" w:eastAsia="仿宋"/>
          <w:szCs w:val="21"/>
        </w:rPr>
      </w:pPr>
      <w:r>
        <w:rPr>
          <w:rFonts w:ascii="仿宋" w:hAnsi="仿宋" w:eastAsia="仿宋"/>
          <w:szCs w:val="21"/>
        </w:rPr>
        <w:t>（二）资产公司因从事资产证券化业务而形成的表内外风险暴露称为资产证券化风险暴露。资产证券化风险暴露包括但不限于资产支持证券、住房抵押贷款证券、信用增级、流动性便利、利率或货币互换、信用衍生工具和分档次抵补。</w:t>
      </w:r>
    </w:p>
    <w:p>
      <w:pPr>
        <w:ind w:firstLine="420" w:firstLineChars="200"/>
        <w:rPr>
          <w:rFonts w:hint="eastAsia" w:ascii="仿宋" w:hAnsi="仿宋" w:eastAsia="仿宋"/>
          <w:szCs w:val="21"/>
        </w:rPr>
      </w:pPr>
      <w:r>
        <w:rPr>
          <w:rFonts w:ascii="仿宋" w:hAnsi="仿宋" w:eastAsia="仿宋"/>
          <w:szCs w:val="21"/>
        </w:rPr>
        <w:t>储备账户如果作为发起机构的资产，应当视同于资产证券化风险暴露。储备账户包括但不限于现金抵押账户和利差账户。</w:t>
      </w:r>
    </w:p>
    <w:p>
      <w:pPr>
        <w:ind w:firstLine="420" w:firstLineChars="200"/>
        <w:rPr>
          <w:rFonts w:hint="eastAsia" w:ascii="仿宋" w:hAnsi="仿宋" w:eastAsia="仿宋"/>
          <w:szCs w:val="21"/>
        </w:rPr>
      </w:pPr>
      <w:r>
        <w:rPr>
          <w:rFonts w:ascii="仿宋" w:hAnsi="仿宋" w:eastAsia="仿宋"/>
          <w:szCs w:val="21"/>
        </w:rPr>
        <w:t>（三）为充分抵御因从事资产证券化业务而承担的风险，资产公司应当基于交易的经济实质，而不仅限于法律形式计提监管资本。资产公司作为资产证券化发起机构、信用增级机构、流动性便利提供机构、投资机构或者贷款服务机构等从事资产证券化业务，只要产生了资产证券化风险暴露，就应计提相应的监管资本。</w:t>
      </w:r>
    </w:p>
    <w:p>
      <w:pPr>
        <w:ind w:firstLine="420" w:firstLineChars="200"/>
        <w:rPr>
          <w:rFonts w:hint="eastAsia" w:ascii="仿宋" w:hAnsi="仿宋" w:eastAsia="仿宋"/>
          <w:szCs w:val="21"/>
        </w:rPr>
      </w:pPr>
      <w:r>
        <w:rPr>
          <w:rFonts w:ascii="仿宋" w:hAnsi="仿宋" w:eastAsia="仿宋"/>
          <w:szCs w:val="21"/>
        </w:rPr>
        <w:t>国务院银行业监督管理机构有权根据交易的经济实质，判断资产公司是否持有资产证券化风险暴露，并确定应当如何计提资本。</w:t>
      </w:r>
    </w:p>
    <w:p>
      <w:pPr>
        <w:rPr>
          <w:rFonts w:hint="eastAsia" w:ascii="仿宋" w:hAnsi="仿宋" w:eastAsia="仿宋"/>
          <w:szCs w:val="21"/>
        </w:rPr>
      </w:pPr>
      <w:r>
        <w:rPr>
          <w:rFonts w:ascii="仿宋" w:hAnsi="仿宋" w:eastAsia="仿宋"/>
          <w:szCs w:val="21"/>
        </w:rPr>
        <w:t xml:space="preserve">    （四）资产公司应使用资产证券化标准法计算资产证券化风险暴露的资本要求。</w:t>
      </w:r>
    </w:p>
    <w:p>
      <w:pPr>
        <w:ind w:firstLine="420" w:firstLineChars="200"/>
        <w:rPr>
          <w:rFonts w:hint="eastAsia" w:ascii="仿宋" w:hAnsi="仿宋" w:eastAsia="仿宋"/>
          <w:szCs w:val="21"/>
        </w:rPr>
      </w:pPr>
      <w:r>
        <w:rPr>
          <w:rFonts w:ascii="仿宋" w:hAnsi="仿宋" w:eastAsia="仿宋"/>
          <w:szCs w:val="21"/>
        </w:rPr>
        <w:t>（五）资产公司资产证券化风险暴露金额按照如下规定确定：</w:t>
      </w:r>
    </w:p>
    <w:p>
      <w:pPr>
        <w:ind w:firstLine="420" w:firstLineChars="200"/>
        <w:rPr>
          <w:rFonts w:hint="eastAsia" w:ascii="仿宋" w:hAnsi="仿宋" w:eastAsia="仿宋"/>
          <w:szCs w:val="21"/>
        </w:rPr>
      </w:pPr>
      <w:r>
        <w:rPr>
          <w:rFonts w:ascii="仿宋" w:hAnsi="仿宋" w:eastAsia="仿宋"/>
          <w:szCs w:val="21"/>
        </w:rPr>
        <w:t>1．表内资产证券化的违约风险暴露为扣除专门针对该资产证券化风险暴露所计提的减值准备后的账面价值。</w:t>
      </w:r>
    </w:p>
    <w:p>
      <w:pPr>
        <w:ind w:firstLine="420" w:firstLineChars="200"/>
        <w:rPr>
          <w:rFonts w:hint="eastAsia" w:ascii="仿宋" w:hAnsi="仿宋" w:eastAsia="仿宋"/>
          <w:szCs w:val="21"/>
        </w:rPr>
      </w:pPr>
      <w:r>
        <w:rPr>
          <w:rFonts w:ascii="仿宋" w:hAnsi="仿宋" w:eastAsia="仿宋"/>
          <w:szCs w:val="21"/>
        </w:rPr>
        <w:t>2．表外资产证券化的违约风险暴露为其表外名义金额扣除减值准备后，再乘以相应的信用转换系数得到的金额。</w:t>
      </w:r>
    </w:p>
    <w:p>
      <w:pPr>
        <w:ind w:firstLine="420" w:firstLineChars="200"/>
        <w:rPr>
          <w:rFonts w:hint="eastAsia" w:ascii="仿宋" w:hAnsi="仿宋" w:eastAsia="仿宋"/>
          <w:szCs w:val="21"/>
        </w:rPr>
      </w:pPr>
      <w:r>
        <w:rPr>
          <w:rFonts w:ascii="仿宋" w:hAnsi="仿宋" w:eastAsia="仿宋"/>
          <w:szCs w:val="21"/>
        </w:rPr>
        <w:t>（六）资产公司为资产证券化交易提供信用支持而且该信用支持已经反映到外部评级中的，该公司不得使用外部评级而应当按照本附件关于未评级资产证券化风险暴露的有关规定计量监管资本要求。</w:t>
      </w:r>
    </w:p>
    <w:p>
      <w:pPr>
        <w:ind w:firstLine="420" w:firstLineChars="200"/>
        <w:rPr>
          <w:rFonts w:hint="eastAsia" w:ascii="仿宋" w:hAnsi="仿宋" w:eastAsia="仿宋"/>
          <w:vanish/>
          <w:szCs w:val="21"/>
        </w:rPr>
      </w:pPr>
      <w:r>
        <w:rPr>
          <w:rFonts w:ascii="仿宋" w:hAnsi="仿宋" w:eastAsia="仿宋"/>
          <w:vanish/>
          <w:szCs w:val="21"/>
        </w:rPr>
        <w:t>可以采用内部评级法或监管映射法计量专业贷款的监管资本要求。</w:t>
      </w:r>
    </w:p>
    <w:p>
      <w:pPr>
        <w:ind w:firstLine="420" w:firstLineChars="200"/>
        <w:rPr>
          <w:rFonts w:hint="eastAsia" w:ascii="仿宋" w:hAnsi="仿宋" w:eastAsia="仿宋"/>
          <w:szCs w:val="21"/>
        </w:rPr>
      </w:pPr>
      <w:r>
        <w:rPr>
          <w:rFonts w:ascii="仿宋" w:hAnsi="仿宋" w:eastAsia="仿宋"/>
          <w:szCs w:val="21"/>
        </w:rPr>
        <w:t>（七）同一资产公司在同一资产证券化交易中具有重叠的资产证券化风险暴露的，应当对重叠部分的监管资本要求进行比较，只需按照最高值计提一次监管资本。</w:t>
      </w:r>
    </w:p>
    <w:p>
      <w:pPr>
        <w:tabs>
          <w:tab w:val="left" w:pos="1530"/>
        </w:tabs>
        <w:ind w:firstLine="420" w:firstLineChars="200"/>
        <w:rPr>
          <w:rFonts w:hint="eastAsia" w:ascii="仿宋" w:hAnsi="仿宋" w:eastAsia="仿宋"/>
          <w:szCs w:val="21"/>
        </w:rPr>
      </w:pPr>
      <w:r>
        <w:rPr>
          <w:rFonts w:ascii="仿宋" w:hAnsi="仿宋" w:eastAsia="仿宋"/>
          <w:szCs w:val="21"/>
        </w:rPr>
        <w:t>（八）资产公司在按照本附件要求扣减销售利得之后为资产证券化业务所计提的资本，以基础资产证券化之前的监管资本要求为上限。</w:t>
      </w:r>
    </w:p>
    <w:p>
      <w:pPr>
        <w:ind w:firstLine="420" w:firstLineChars="200"/>
        <w:rPr>
          <w:rFonts w:hint="eastAsia" w:ascii="仿宋" w:hAnsi="仿宋" w:eastAsia="仿宋"/>
          <w:szCs w:val="21"/>
        </w:rPr>
      </w:pPr>
      <w:r>
        <w:rPr>
          <w:rFonts w:ascii="仿宋" w:hAnsi="仿宋" w:eastAsia="仿宋"/>
          <w:szCs w:val="21"/>
        </w:rPr>
        <w:t xml:space="preserve">（九）对不符合以下条件的资产证券化风险暴露，资产公司应按照800%的风险权重计算监管资本要求： </w:t>
      </w:r>
    </w:p>
    <w:p>
      <w:pPr>
        <w:tabs>
          <w:tab w:val="left" w:pos="1530"/>
        </w:tabs>
        <w:ind w:firstLine="420" w:firstLineChars="200"/>
        <w:rPr>
          <w:rFonts w:hint="eastAsia" w:ascii="仿宋" w:hAnsi="仿宋" w:eastAsia="仿宋"/>
          <w:szCs w:val="21"/>
        </w:rPr>
      </w:pPr>
      <w:r>
        <w:rPr>
          <w:rFonts w:ascii="仿宋" w:hAnsi="仿宋" w:eastAsia="仿宋"/>
          <w:szCs w:val="21"/>
        </w:rPr>
        <w:t>1．资产公司应当持续、全面了解其表内外资产证券化风险暴露及基础资产的风险特征。</w:t>
      </w:r>
    </w:p>
    <w:p>
      <w:pPr>
        <w:ind w:firstLine="420" w:firstLineChars="200"/>
        <w:rPr>
          <w:rFonts w:hint="eastAsia" w:ascii="仿宋" w:hAnsi="仿宋" w:eastAsia="仿宋"/>
          <w:szCs w:val="21"/>
        </w:rPr>
      </w:pPr>
      <w:r>
        <w:rPr>
          <w:rFonts w:ascii="仿宋" w:hAnsi="仿宋" w:eastAsia="仿宋"/>
          <w:szCs w:val="21"/>
        </w:rPr>
        <w:t>2．资产公司应当能够及时获取基础资产的相关信息，包括资产类别、</w:t>
      </w:r>
      <w:r>
        <w:rPr>
          <w:rFonts w:hint="eastAsia" w:ascii="仿宋" w:hAnsi="仿宋" w:eastAsia="仿宋"/>
          <w:szCs w:val="21"/>
        </w:rPr>
        <w:t>债务</w:t>
      </w:r>
      <w:r>
        <w:rPr>
          <w:rFonts w:ascii="仿宋" w:hAnsi="仿宋" w:eastAsia="仿宋"/>
          <w:szCs w:val="21"/>
        </w:rPr>
        <w:t>人资信状况、各类逾期资产占比、基础资产抵质押品类别及其权属状况、平均抵质押率以及行业和地域分散情况等。</w:t>
      </w:r>
    </w:p>
    <w:p>
      <w:pPr>
        <w:ind w:firstLine="420" w:firstLineChars="200"/>
        <w:rPr>
          <w:rFonts w:hint="eastAsia" w:ascii="仿宋" w:hAnsi="仿宋" w:eastAsia="仿宋"/>
          <w:szCs w:val="21"/>
        </w:rPr>
      </w:pPr>
      <w:r>
        <w:rPr>
          <w:rFonts w:ascii="仿宋" w:hAnsi="仿宋" w:eastAsia="仿宋"/>
          <w:szCs w:val="21"/>
        </w:rPr>
        <w:t>3．资产公司应当全面了解可能对其所持有资产证券化风险暴露产生重大影响的资产证券化交易的结构特征，包括信用增级、流动性便利、与交易有关的违约定义、各种触发机制和资产支持证券偿付安排等。</w:t>
      </w:r>
    </w:p>
    <w:p>
      <w:pPr>
        <w:ind w:firstLine="420" w:firstLineChars="200"/>
        <w:rPr>
          <w:rFonts w:hint="eastAsia" w:ascii="仿宋" w:hAnsi="仿宋" w:eastAsia="仿宋"/>
          <w:szCs w:val="21"/>
        </w:rPr>
      </w:pPr>
      <w:r>
        <w:rPr>
          <w:rFonts w:ascii="仿宋" w:hAnsi="仿宋" w:eastAsia="仿宋"/>
          <w:szCs w:val="21"/>
        </w:rPr>
        <w:t>二、信用风险转移与监管资本计量</w:t>
      </w:r>
    </w:p>
    <w:p>
      <w:pPr>
        <w:ind w:firstLine="420" w:firstLineChars="200"/>
        <w:rPr>
          <w:rFonts w:hint="eastAsia" w:ascii="仿宋" w:hAnsi="仿宋" w:eastAsia="仿宋"/>
          <w:szCs w:val="21"/>
        </w:rPr>
      </w:pPr>
      <w:r>
        <w:rPr>
          <w:rFonts w:ascii="仿宋" w:hAnsi="仿宋" w:eastAsia="仿宋"/>
          <w:szCs w:val="21"/>
        </w:rPr>
        <w:t>（一）对于传统型资产证券化交易，在符合下列所有条件的情况下，发起机构才能在计算风险加权资产时扣减证券化基础资产：</w:t>
      </w:r>
    </w:p>
    <w:p>
      <w:pPr>
        <w:ind w:firstLine="420" w:firstLineChars="200"/>
        <w:rPr>
          <w:rFonts w:hint="eastAsia" w:ascii="仿宋" w:hAnsi="仿宋" w:eastAsia="仿宋"/>
          <w:szCs w:val="21"/>
        </w:rPr>
      </w:pPr>
      <w:r>
        <w:rPr>
          <w:rFonts w:ascii="仿宋" w:hAnsi="仿宋" w:eastAsia="仿宋"/>
          <w:szCs w:val="21"/>
        </w:rPr>
        <w:t>1．与被转让资产相关的重大信用风险已经转移给了独立的第三方机构。</w:t>
      </w:r>
    </w:p>
    <w:p>
      <w:pPr>
        <w:ind w:firstLine="420" w:firstLineChars="200"/>
        <w:rPr>
          <w:rFonts w:hint="eastAsia" w:ascii="仿宋" w:hAnsi="仿宋" w:eastAsia="仿宋"/>
          <w:szCs w:val="21"/>
        </w:rPr>
      </w:pPr>
      <w:r>
        <w:rPr>
          <w:rFonts w:ascii="仿宋" w:hAnsi="仿宋" w:eastAsia="仿宋"/>
          <w:szCs w:val="21"/>
        </w:rPr>
        <w:t>2．发起机构对被转让的资产不再拥有实际的或者间接的控制。</w:t>
      </w:r>
    </w:p>
    <w:p>
      <w:pPr>
        <w:ind w:firstLine="420" w:firstLineChars="200"/>
        <w:rPr>
          <w:rFonts w:hint="eastAsia" w:ascii="仿宋" w:hAnsi="仿宋" w:eastAsia="仿宋"/>
          <w:szCs w:val="21"/>
        </w:rPr>
      </w:pPr>
      <w:r>
        <w:rPr>
          <w:rFonts w:ascii="仿宋" w:hAnsi="仿宋" w:eastAsia="仿宋"/>
          <w:szCs w:val="21"/>
        </w:rPr>
        <w:t>发起机构证明对被转让的资产不再拥有实际的或者间接的控制，至少需要由执业律师出具法律意见书，表明发起机构与被转让的资产实现了破产隔离。</w:t>
      </w:r>
    </w:p>
    <w:p>
      <w:pPr>
        <w:ind w:firstLine="420" w:firstLineChars="200"/>
        <w:rPr>
          <w:rFonts w:hint="eastAsia" w:ascii="仿宋" w:hAnsi="仿宋" w:eastAsia="仿宋"/>
          <w:szCs w:val="21"/>
        </w:rPr>
      </w:pPr>
      <w:r>
        <w:rPr>
          <w:rFonts w:ascii="仿宋" w:hAnsi="仿宋" w:eastAsia="仿宋"/>
          <w:szCs w:val="21"/>
        </w:rPr>
        <w:t>发起机构对被转让的资产保留实际的或者间接的控制，包括但不限于下列两种情形：</w:t>
      </w:r>
    </w:p>
    <w:p>
      <w:pPr>
        <w:ind w:firstLine="420" w:firstLineChars="200"/>
        <w:rPr>
          <w:rFonts w:hint="eastAsia" w:ascii="仿宋" w:hAnsi="仿宋" w:eastAsia="仿宋"/>
          <w:szCs w:val="21"/>
        </w:rPr>
      </w:pPr>
      <w:r>
        <w:rPr>
          <w:rFonts w:ascii="仿宋" w:hAnsi="仿宋" w:eastAsia="仿宋"/>
          <w:szCs w:val="21"/>
        </w:rPr>
        <w:t>（1）发起机构为了获利，可以赎回被转让的资产，但发起机构按照相关规定，因基础资产被发现在入库起算日不符合信托合同约定的范围、种类、标准和状况而被要求赎回或置换的情况除外。</w:t>
      </w:r>
    </w:p>
    <w:p>
      <w:pPr>
        <w:ind w:firstLine="420" w:firstLineChars="200"/>
        <w:rPr>
          <w:rFonts w:hint="eastAsia" w:ascii="仿宋" w:hAnsi="仿宋" w:eastAsia="仿宋"/>
          <w:szCs w:val="21"/>
        </w:rPr>
      </w:pPr>
      <w:r>
        <w:rPr>
          <w:rFonts w:ascii="仿宋" w:hAnsi="仿宋" w:eastAsia="仿宋"/>
          <w:szCs w:val="21"/>
        </w:rPr>
        <w:t>（2）发起机构有义务承担被转让资产的重大信用风险。</w:t>
      </w:r>
    </w:p>
    <w:p>
      <w:pPr>
        <w:ind w:firstLine="420" w:firstLineChars="200"/>
        <w:rPr>
          <w:rFonts w:hint="eastAsia" w:ascii="仿宋" w:hAnsi="仿宋" w:eastAsia="仿宋"/>
          <w:szCs w:val="21"/>
        </w:rPr>
      </w:pPr>
      <w:r>
        <w:rPr>
          <w:rFonts w:ascii="仿宋" w:hAnsi="仿宋" w:eastAsia="仿宋"/>
          <w:szCs w:val="21"/>
        </w:rPr>
        <w:t>3．发起机构对资产支持证券的投资机构不承担偿付义务和责任。</w:t>
      </w:r>
    </w:p>
    <w:p>
      <w:pPr>
        <w:ind w:firstLine="420" w:firstLineChars="200"/>
        <w:rPr>
          <w:rFonts w:hint="eastAsia" w:ascii="仿宋" w:hAnsi="仿宋" w:eastAsia="仿宋"/>
          <w:szCs w:val="21"/>
        </w:rPr>
      </w:pPr>
      <w:r>
        <w:rPr>
          <w:rFonts w:ascii="仿宋" w:hAnsi="仿宋" w:eastAsia="仿宋"/>
          <w:szCs w:val="21"/>
        </w:rPr>
        <w:t>4．在信托合同和资产证券化其他相关法律文件中不包括下列条款：</w:t>
      </w:r>
    </w:p>
    <w:p>
      <w:pPr>
        <w:ind w:firstLine="420" w:firstLineChars="200"/>
        <w:rPr>
          <w:rFonts w:hint="eastAsia" w:ascii="仿宋" w:hAnsi="仿宋" w:eastAsia="仿宋"/>
          <w:szCs w:val="21"/>
        </w:rPr>
      </w:pPr>
      <w:r>
        <w:rPr>
          <w:rFonts w:ascii="仿宋" w:hAnsi="仿宋" w:eastAsia="仿宋"/>
          <w:szCs w:val="21"/>
        </w:rPr>
        <w:t>（1）要求发起机构改变资产池中的资产，以提高资产池的加权平均信用质量，但通过以市场价格向独立的第三方机构转让资产除外。</w:t>
      </w:r>
    </w:p>
    <w:p>
      <w:pPr>
        <w:ind w:firstLine="420" w:firstLineChars="200"/>
        <w:rPr>
          <w:rFonts w:hint="eastAsia" w:ascii="仿宋" w:hAnsi="仿宋" w:eastAsia="仿宋"/>
          <w:szCs w:val="21"/>
        </w:rPr>
      </w:pPr>
      <w:r>
        <w:rPr>
          <w:rFonts w:ascii="仿宋" w:hAnsi="仿宋" w:eastAsia="仿宋"/>
          <w:szCs w:val="21"/>
        </w:rPr>
        <w:t>（2）在基础资产转让之后，仍然允许发起机构追加承担第一损失责任或者增加信用增级的支持程度。</w:t>
      </w:r>
    </w:p>
    <w:p>
      <w:pPr>
        <w:ind w:firstLine="420" w:firstLineChars="200"/>
        <w:rPr>
          <w:rFonts w:hint="eastAsia" w:ascii="仿宋" w:hAnsi="仿宋" w:eastAsia="仿宋"/>
          <w:szCs w:val="21"/>
        </w:rPr>
      </w:pPr>
      <w:r>
        <w:rPr>
          <w:rFonts w:ascii="仿宋" w:hAnsi="仿宋" w:eastAsia="仿宋"/>
          <w:szCs w:val="21"/>
        </w:rPr>
        <w:t>（3）在资产池信用质量下降的情况下，增加向除发起机构以外的其他参与机构支付的收益。</w:t>
      </w:r>
    </w:p>
    <w:p>
      <w:pPr>
        <w:ind w:firstLine="420" w:firstLineChars="200"/>
        <w:rPr>
          <w:rFonts w:hint="eastAsia" w:ascii="仿宋" w:hAnsi="仿宋" w:eastAsia="仿宋"/>
          <w:szCs w:val="21"/>
        </w:rPr>
      </w:pPr>
      <w:r>
        <w:rPr>
          <w:rFonts w:ascii="仿宋" w:hAnsi="仿宋" w:eastAsia="仿宋"/>
          <w:szCs w:val="21"/>
        </w:rPr>
        <w:t>5．清仓回购符合本部分（五）所规定的条件。</w:t>
      </w:r>
    </w:p>
    <w:p>
      <w:pPr>
        <w:ind w:firstLine="420" w:firstLineChars="200"/>
        <w:rPr>
          <w:rFonts w:hint="eastAsia" w:ascii="仿宋" w:hAnsi="仿宋" w:eastAsia="仿宋"/>
          <w:szCs w:val="21"/>
        </w:rPr>
      </w:pPr>
      <w:r>
        <w:rPr>
          <w:rFonts w:ascii="仿宋" w:hAnsi="仿宋" w:eastAsia="仿宋"/>
          <w:szCs w:val="21"/>
        </w:rPr>
        <w:t>在符合上述1至5项条件的情况下，发起机构仍然应当按照本附件规定，为所持有的资产证券化风险暴露计提资本。</w:t>
      </w:r>
    </w:p>
    <w:p>
      <w:pPr>
        <w:ind w:firstLine="420" w:firstLineChars="200"/>
        <w:rPr>
          <w:rFonts w:hint="eastAsia" w:ascii="仿宋" w:hAnsi="仿宋" w:eastAsia="仿宋"/>
          <w:szCs w:val="21"/>
        </w:rPr>
      </w:pPr>
      <w:r>
        <w:rPr>
          <w:rFonts w:ascii="仿宋" w:hAnsi="仿宋" w:eastAsia="仿宋"/>
          <w:szCs w:val="21"/>
        </w:rPr>
        <w:t>在上述1至5项条件中任何一项不符合的情况下，发起机构都应当按照资产证券化前的资本要求计提资本。</w:t>
      </w:r>
    </w:p>
    <w:p>
      <w:pPr>
        <w:ind w:firstLine="420" w:firstLineChars="200"/>
        <w:rPr>
          <w:rFonts w:hint="eastAsia" w:ascii="仿宋" w:hAnsi="仿宋" w:eastAsia="仿宋"/>
          <w:szCs w:val="21"/>
        </w:rPr>
      </w:pPr>
      <w:r>
        <w:rPr>
          <w:rFonts w:ascii="仿宋" w:hAnsi="仿宋" w:eastAsia="仿宋"/>
          <w:szCs w:val="21"/>
        </w:rPr>
        <w:t>（二）对于合成型资产证券化交易，只有在符合下列所有条件的情况下，发起机构才能在计量证券化基础资产监管资本时认可信用风险缓释工具的信用风险缓释作用：</w:t>
      </w:r>
    </w:p>
    <w:p>
      <w:pPr>
        <w:ind w:firstLine="420" w:firstLineChars="200"/>
        <w:rPr>
          <w:rFonts w:hint="eastAsia" w:ascii="仿宋" w:hAnsi="仿宋" w:eastAsia="仿宋"/>
          <w:szCs w:val="21"/>
        </w:rPr>
      </w:pPr>
      <w:r>
        <w:rPr>
          <w:rFonts w:ascii="仿宋" w:hAnsi="仿宋" w:eastAsia="仿宋"/>
          <w:szCs w:val="21"/>
        </w:rPr>
        <w:t>1．信用风险缓释工具符合《金融资产管理公司非现场监管报表指标体系》附件1的相关要求，且信用风险缓释工具的到期日不早于基础资产的最晚到期日。</w:t>
      </w:r>
    </w:p>
    <w:p>
      <w:pPr>
        <w:ind w:firstLine="420" w:firstLineChars="200"/>
        <w:rPr>
          <w:rFonts w:hint="eastAsia" w:ascii="仿宋" w:hAnsi="仿宋" w:eastAsia="仿宋"/>
          <w:szCs w:val="21"/>
        </w:rPr>
      </w:pPr>
      <w:r>
        <w:rPr>
          <w:rFonts w:ascii="仿宋" w:hAnsi="仿宋" w:eastAsia="仿宋"/>
          <w:szCs w:val="21"/>
        </w:rPr>
        <w:t>2．发起机构必须将基础资产的重大信用风险转移给独立的第三方机构。</w:t>
      </w:r>
    </w:p>
    <w:p>
      <w:pPr>
        <w:ind w:firstLine="420" w:firstLineChars="200"/>
        <w:rPr>
          <w:rFonts w:hint="eastAsia" w:ascii="仿宋" w:hAnsi="仿宋" w:eastAsia="仿宋"/>
          <w:szCs w:val="21"/>
        </w:rPr>
      </w:pPr>
      <w:r>
        <w:rPr>
          <w:rFonts w:ascii="仿宋" w:hAnsi="仿宋" w:eastAsia="仿宋"/>
          <w:szCs w:val="21"/>
        </w:rPr>
        <w:t>3．信用风险缓释工具的相关合同文件不得包含限制信用风险转移数量的条件和条款，包括但不限于以下情形：</w:t>
      </w:r>
    </w:p>
    <w:p>
      <w:pPr>
        <w:ind w:firstLine="420" w:firstLineChars="200"/>
        <w:rPr>
          <w:rFonts w:hint="eastAsia" w:ascii="仿宋" w:hAnsi="仿宋" w:eastAsia="仿宋"/>
          <w:szCs w:val="21"/>
        </w:rPr>
      </w:pPr>
      <w:r>
        <w:rPr>
          <w:rFonts w:ascii="仿宋" w:hAnsi="仿宋" w:eastAsia="仿宋"/>
          <w:szCs w:val="21"/>
        </w:rPr>
        <w:t>（1）在信用损失事件发生或者资产池信用质量下降的时候，限制信用保护或信用风险转移程度。</w:t>
      </w:r>
    </w:p>
    <w:p>
      <w:pPr>
        <w:ind w:firstLine="420" w:firstLineChars="200"/>
        <w:rPr>
          <w:rFonts w:hint="eastAsia" w:ascii="仿宋" w:hAnsi="仿宋" w:eastAsia="仿宋"/>
          <w:szCs w:val="21"/>
        </w:rPr>
      </w:pPr>
      <w:r>
        <w:rPr>
          <w:rFonts w:ascii="仿宋" w:hAnsi="仿宋" w:eastAsia="仿宋"/>
          <w:szCs w:val="21"/>
        </w:rPr>
        <w:t>（2）要求发起机构改变资产池中的资产，以提高资产池的加权平均信用质量，但通过以市场价格向独立的第三方机构转让资产除外。</w:t>
      </w:r>
    </w:p>
    <w:p>
      <w:pPr>
        <w:ind w:firstLine="420" w:firstLineChars="200"/>
        <w:rPr>
          <w:rFonts w:hint="eastAsia" w:ascii="仿宋" w:hAnsi="仿宋" w:eastAsia="仿宋"/>
          <w:szCs w:val="21"/>
        </w:rPr>
      </w:pPr>
      <w:r>
        <w:rPr>
          <w:rFonts w:ascii="仿宋" w:hAnsi="仿宋" w:eastAsia="仿宋"/>
          <w:szCs w:val="21"/>
        </w:rPr>
        <w:t>（3）在资产池信用质量下降的情况下，增加发起机构的信用保护成本。</w:t>
      </w:r>
    </w:p>
    <w:p>
      <w:pPr>
        <w:ind w:firstLine="420" w:firstLineChars="200"/>
        <w:rPr>
          <w:rFonts w:hint="eastAsia" w:ascii="仿宋" w:hAnsi="仿宋" w:eastAsia="仿宋"/>
          <w:szCs w:val="21"/>
        </w:rPr>
      </w:pPr>
      <w:r>
        <w:rPr>
          <w:rFonts w:ascii="仿宋" w:hAnsi="仿宋" w:eastAsia="仿宋"/>
          <w:szCs w:val="21"/>
        </w:rPr>
        <w:t>（4）在资产池信用质量下降的情况下，增加向除发起机构以外的其他参与机构支付的收益。</w:t>
      </w:r>
    </w:p>
    <w:p>
      <w:pPr>
        <w:ind w:firstLine="420" w:firstLineChars="200"/>
        <w:rPr>
          <w:rFonts w:hint="eastAsia" w:ascii="仿宋" w:hAnsi="仿宋" w:eastAsia="仿宋"/>
          <w:szCs w:val="21"/>
        </w:rPr>
      </w:pPr>
      <w:r>
        <w:rPr>
          <w:rFonts w:ascii="仿宋" w:hAnsi="仿宋" w:eastAsia="仿宋"/>
          <w:szCs w:val="21"/>
        </w:rPr>
        <w:t>（5）在资产证券化交易开始之后，仍然允许发起机构追加承担第一损失责任或者增加信用增级的支持程度。</w:t>
      </w:r>
    </w:p>
    <w:p>
      <w:pPr>
        <w:ind w:firstLine="420" w:firstLineChars="200"/>
        <w:rPr>
          <w:rFonts w:hint="eastAsia" w:ascii="仿宋" w:hAnsi="仿宋" w:eastAsia="仿宋"/>
          <w:szCs w:val="21"/>
        </w:rPr>
      </w:pPr>
      <w:r>
        <w:rPr>
          <w:rFonts w:ascii="仿宋" w:hAnsi="仿宋" w:eastAsia="仿宋"/>
          <w:szCs w:val="21"/>
        </w:rPr>
        <w:t>4．资产证券化交易必须由执业律师出具法律意见书，确认相关合同在所有相关国家或者地区的执行效力。</w:t>
      </w:r>
    </w:p>
    <w:p>
      <w:pPr>
        <w:ind w:firstLine="420" w:firstLineChars="200"/>
        <w:rPr>
          <w:rFonts w:hint="eastAsia" w:ascii="仿宋" w:hAnsi="仿宋" w:eastAsia="仿宋"/>
          <w:szCs w:val="21"/>
        </w:rPr>
      </w:pPr>
      <w:r>
        <w:rPr>
          <w:rFonts w:ascii="仿宋" w:hAnsi="仿宋" w:eastAsia="仿宋"/>
          <w:szCs w:val="21"/>
        </w:rPr>
        <w:t>5．清仓回购符合本部分（五）所规定的条件。</w:t>
      </w:r>
    </w:p>
    <w:p>
      <w:pPr>
        <w:ind w:firstLine="420" w:firstLineChars="200"/>
        <w:rPr>
          <w:rFonts w:hint="eastAsia" w:ascii="仿宋" w:hAnsi="仿宋" w:eastAsia="仿宋"/>
          <w:szCs w:val="21"/>
        </w:rPr>
      </w:pPr>
      <w:r>
        <w:rPr>
          <w:rFonts w:ascii="仿宋" w:hAnsi="仿宋" w:eastAsia="仿宋"/>
          <w:szCs w:val="21"/>
        </w:rPr>
        <w:t>在符合上述1至5项条件的情况下，发起机构仍然应当按照本附件规定，为所持有的资产证券化风险暴露计提资本。</w:t>
      </w:r>
    </w:p>
    <w:p>
      <w:pPr>
        <w:ind w:firstLine="420" w:firstLineChars="200"/>
        <w:rPr>
          <w:rFonts w:hint="eastAsia" w:ascii="仿宋" w:hAnsi="仿宋" w:eastAsia="仿宋"/>
          <w:szCs w:val="21"/>
        </w:rPr>
      </w:pPr>
      <w:r>
        <w:rPr>
          <w:rFonts w:ascii="仿宋" w:hAnsi="仿宋" w:eastAsia="仿宋"/>
          <w:szCs w:val="21"/>
        </w:rPr>
        <w:t>在上述1至5项条件中任何一项不符合的情况下，发起机构在计量证券化基础资产监管资本时均不得认可信用风险缓释工具的信用风险缓释作用。</w:t>
      </w:r>
    </w:p>
    <w:p>
      <w:pPr>
        <w:ind w:firstLine="396" w:firstLineChars="189"/>
        <w:rPr>
          <w:rFonts w:hint="eastAsia" w:ascii="仿宋" w:hAnsi="仿宋" w:eastAsia="仿宋"/>
          <w:szCs w:val="21"/>
        </w:rPr>
      </w:pPr>
      <w:r>
        <w:rPr>
          <w:rFonts w:ascii="仿宋" w:hAnsi="仿宋" w:eastAsia="仿宋"/>
          <w:szCs w:val="21"/>
        </w:rPr>
        <w:t>（三）对于符合本部分（二）规定条件的合成型资产证券化交易，发起机构在计量证券化基础资产监管资本时，应当按照信用风险加权资产计量权重法的相关规定，认可信用风险缓释工具的信用风险缓释作用。</w:t>
      </w:r>
    </w:p>
    <w:p>
      <w:pPr>
        <w:ind w:firstLine="420" w:firstLineChars="200"/>
        <w:rPr>
          <w:rFonts w:hint="eastAsia" w:ascii="仿宋" w:hAnsi="仿宋" w:eastAsia="仿宋"/>
          <w:szCs w:val="21"/>
        </w:rPr>
      </w:pPr>
      <w:r>
        <w:rPr>
          <w:rFonts w:ascii="仿宋" w:hAnsi="仿宋" w:eastAsia="仿宋"/>
          <w:szCs w:val="21"/>
        </w:rPr>
        <w:t>（四）如果资产池中的资产具有不同的期限，应当将最长的期限作为整个资产池的期限。</w:t>
      </w:r>
    </w:p>
    <w:p>
      <w:pPr>
        <w:ind w:firstLine="420" w:firstLineChars="200"/>
        <w:rPr>
          <w:rFonts w:hint="eastAsia" w:ascii="仿宋" w:hAnsi="仿宋" w:eastAsia="仿宋"/>
          <w:szCs w:val="21"/>
        </w:rPr>
      </w:pPr>
      <w:r>
        <w:rPr>
          <w:rFonts w:ascii="仿宋" w:hAnsi="仿宋" w:eastAsia="仿宋"/>
          <w:szCs w:val="21"/>
        </w:rPr>
        <w:t>（五）资产证券化交易合同中含有清仓回购条款的，在符合下列条件的情况下，发起机构可以不为清仓回购安排计提资本：</w:t>
      </w:r>
    </w:p>
    <w:p>
      <w:pPr>
        <w:ind w:firstLine="420" w:firstLineChars="200"/>
        <w:rPr>
          <w:rFonts w:hint="eastAsia" w:ascii="仿宋" w:hAnsi="仿宋" w:eastAsia="仿宋"/>
          <w:szCs w:val="21"/>
        </w:rPr>
      </w:pPr>
      <w:r>
        <w:rPr>
          <w:rFonts w:ascii="仿宋" w:hAnsi="仿宋" w:eastAsia="仿宋"/>
          <w:szCs w:val="21"/>
        </w:rPr>
        <w:t>1．发起机构有权决定是否进行清仓回购，清仓回购的行使无论在形式还是实质上都不是强制性的。</w:t>
      </w:r>
    </w:p>
    <w:p>
      <w:pPr>
        <w:ind w:firstLine="420" w:firstLineChars="200"/>
        <w:rPr>
          <w:rFonts w:hint="eastAsia" w:ascii="仿宋" w:hAnsi="仿宋" w:eastAsia="仿宋"/>
          <w:szCs w:val="21"/>
        </w:rPr>
      </w:pPr>
      <w:r>
        <w:rPr>
          <w:rFonts w:ascii="仿宋" w:hAnsi="仿宋" w:eastAsia="仿宋"/>
          <w:szCs w:val="21"/>
        </w:rPr>
        <w:t>2．清仓回购安排不会免除信用增级机构或者资产支持证券投资机构理应承担的损失，也不会被用来提供信用增级。</w:t>
      </w:r>
    </w:p>
    <w:p>
      <w:pPr>
        <w:ind w:firstLine="420" w:firstLineChars="200"/>
        <w:rPr>
          <w:rFonts w:hint="eastAsia" w:ascii="仿宋" w:hAnsi="仿宋" w:eastAsia="仿宋"/>
          <w:szCs w:val="21"/>
        </w:rPr>
      </w:pPr>
      <w:r>
        <w:rPr>
          <w:rFonts w:ascii="仿宋" w:hAnsi="仿宋" w:eastAsia="仿宋"/>
          <w:szCs w:val="21"/>
        </w:rPr>
        <w:t>3．对于传统型资产证券化交易，只有在资产池或者以该资产池为基础发行的资产支持证券余额降至资产池或者资产支持证券初始金额的10%或者10%以下时，才能进行清仓回购。</w:t>
      </w:r>
    </w:p>
    <w:p>
      <w:pPr>
        <w:ind w:firstLine="420" w:firstLineChars="200"/>
        <w:rPr>
          <w:rFonts w:hint="eastAsia" w:ascii="仿宋" w:hAnsi="仿宋" w:eastAsia="仿宋"/>
          <w:szCs w:val="21"/>
        </w:rPr>
      </w:pPr>
      <w:r>
        <w:rPr>
          <w:rFonts w:ascii="仿宋" w:hAnsi="仿宋" w:eastAsia="仿宋"/>
          <w:szCs w:val="21"/>
        </w:rPr>
        <w:t>4．对于合成型资产证券化交易，只有在参考资产的价值降至初始金额的10%或者10%以下时，才能进行清仓回购。</w:t>
      </w:r>
    </w:p>
    <w:p>
      <w:pPr>
        <w:ind w:firstLine="420" w:firstLineChars="200"/>
        <w:rPr>
          <w:rFonts w:hint="eastAsia" w:ascii="仿宋" w:hAnsi="仿宋" w:eastAsia="仿宋"/>
          <w:szCs w:val="21"/>
        </w:rPr>
      </w:pPr>
      <w:r>
        <w:rPr>
          <w:rFonts w:ascii="仿宋" w:hAnsi="仿宋" w:eastAsia="仿宋"/>
          <w:szCs w:val="21"/>
        </w:rPr>
        <w:t>在上述1至4项条件中任何一项不符合的情况下，对于传统型资产证券化交易，发起机构应当按照资产证券化前的资本要求计提资本，而且不能在监管资本中计入销售利得。对于合成型资产证券化交易，发起机构在计量证券化基础资产监管资本时不得认可信用风险缓释工具的信用风险缓释作用。如果合成型资产证券化交易包含赎回权，而且该赎回权在特定时间终止证券化交易及其所购买的信用保护，发起机构应当按照本部分（四）的规定计算该证券化交易的资本要求。</w:t>
      </w:r>
    </w:p>
    <w:p>
      <w:pPr>
        <w:ind w:firstLine="420" w:firstLineChars="200"/>
        <w:rPr>
          <w:rFonts w:hint="eastAsia" w:ascii="仿宋" w:hAnsi="仿宋" w:eastAsia="仿宋"/>
          <w:szCs w:val="21"/>
        </w:rPr>
      </w:pPr>
      <w:r>
        <w:rPr>
          <w:rFonts w:ascii="仿宋" w:hAnsi="仿宋" w:eastAsia="仿宋"/>
          <w:szCs w:val="21"/>
        </w:rPr>
        <w:t>（六）资产公司以超过合同义务的方式为资产证券化交易提供隐性支持的，应当按照基础资产证券化之前的资本要求计提资本，而且应当公开披露所提供的隐性支持及其对监管资本要求的影响。</w:t>
      </w:r>
    </w:p>
    <w:p>
      <w:pPr>
        <w:ind w:firstLine="420" w:firstLineChars="200"/>
        <w:rPr>
          <w:rFonts w:hint="eastAsia" w:ascii="仿宋" w:hAnsi="仿宋" w:eastAsia="仿宋"/>
          <w:szCs w:val="21"/>
        </w:rPr>
      </w:pPr>
      <w:r>
        <w:rPr>
          <w:rFonts w:ascii="仿宋" w:hAnsi="仿宋" w:eastAsia="仿宋"/>
          <w:szCs w:val="21"/>
        </w:rPr>
        <w:t>资产公司提供隐性支持的方式包括但不限于以下情形：</w:t>
      </w:r>
    </w:p>
    <w:p>
      <w:pPr>
        <w:ind w:firstLine="420" w:firstLineChars="200"/>
        <w:rPr>
          <w:rFonts w:hint="eastAsia" w:ascii="仿宋" w:hAnsi="仿宋" w:eastAsia="仿宋"/>
          <w:szCs w:val="21"/>
        </w:rPr>
      </w:pPr>
      <w:r>
        <w:rPr>
          <w:rFonts w:ascii="仿宋" w:hAnsi="仿宋" w:eastAsia="仿宋"/>
          <w:szCs w:val="21"/>
        </w:rPr>
        <w:t>1．以高于市场价格的方式从资产池赎回部分资产，或赎回资产池中信用质量下降的资产，但发起机构按照有关规定，因基础资产被发现在入库起算日不符合信托合同约定的范围、种类、标准和状况而被要求赎回或置换的情况除外。</w:t>
      </w:r>
    </w:p>
    <w:p>
      <w:pPr>
        <w:ind w:firstLine="420" w:firstLineChars="200"/>
        <w:rPr>
          <w:rFonts w:hint="eastAsia" w:ascii="仿宋" w:hAnsi="仿宋" w:eastAsia="仿宋"/>
          <w:szCs w:val="21"/>
        </w:rPr>
      </w:pPr>
      <w:r>
        <w:rPr>
          <w:rFonts w:ascii="仿宋" w:hAnsi="仿宋" w:eastAsia="仿宋"/>
          <w:szCs w:val="21"/>
        </w:rPr>
        <w:t>2．以打折的方式向资产池再次注入资产。</w:t>
      </w:r>
    </w:p>
    <w:p>
      <w:pPr>
        <w:ind w:firstLine="420" w:firstLineChars="200"/>
        <w:rPr>
          <w:rFonts w:hint="eastAsia" w:ascii="仿宋" w:hAnsi="仿宋" w:eastAsia="仿宋"/>
          <w:szCs w:val="21"/>
        </w:rPr>
      </w:pPr>
      <w:r>
        <w:rPr>
          <w:rFonts w:ascii="仿宋" w:hAnsi="仿宋" w:eastAsia="仿宋"/>
          <w:szCs w:val="21"/>
        </w:rPr>
        <w:t>3．增加合同约定之外的第一损失责任。</w:t>
      </w:r>
    </w:p>
    <w:p>
      <w:pPr>
        <w:ind w:firstLine="420" w:firstLineChars="200"/>
        <w:rPr>
          <w:rFonts w:hint="eastAsia" w:ascii="仿宋" w:hAnsi="仿宋" w:eastAsia="仿宋"/>
          <w:szCs w:val="21"/>
        </w:rPr>
      </w:pPr>
      <w:r>
        <w:rPr>
          <w:rFonts w:ascii="仿宋" w:hAnsi="仿宋" w:eastAsia="仿宋"/>
          <w:szCs w:val="21"/>
        </w:rPr>
        <w:t>4．所行使的清仓回购被认定为用作提供信用增级。</w:t>
      </w:r>
    </w:p>
    <w:p>
      <w:pPr>
        <w:ind w:firstLine="420" w:firstLineChars="200"/>
        <w:rPr>
          <w:rFonts w:hint="eastAsia" w:ascii="仿宋" w:hAnsi="仿宋" w:eastAsia="仿宋"/>
          <w:szCs w:val="21"/>
        </w:rPr>
      </w:pPr>
      <w:r>
        <w:rPr>
          <w:rFonts w:ascii="仿宋" w:hAnsi="仿宋" w:eastAsia="仿宋"/>
          <w:szCs w:val="21"/>
        </w:rPr>
        <w:t>三、资产证券化标准法</w:t>
      </w:r>
    </w:p>
    <w:p>
      <w:pPr>
        <w:ind w:firstLine="420" w:firstLineChars="200"/>
        <w:rPr>
          <w:rFonts w:hint="eastAsia" w:ascii="仿宋" w:hAnsi="仿宋" w:eastAsia="仿宋"/>
          <w:szCs w:val="21"/>
        </w:rPr>
      </w:pPr>
      <w:r>
        <w:rPr>
          <w:rFonts w:ascii="仿宋" w:hAnsi="仿宋" w:eastAsia="仿宋"/>
          <w:szCs w:val="21"/>
        </w:rPr>
        <w:t>（一）以经资产公司评估的合格评级机构的外部信用评级作为确定风险权重依据的，资产证券化风险暴露和再资产证券化风险暴露的风险权重按照表1和表2所示的对应关系确定。</w:t>
      </w:r>
      <w:bookmarkStart w:id="1986" w:name="OLE_LINK10"/>
    </w:p>
    <w:p>
      <w:pPr>
        <w:ind w:firstLine="420" w:firstLineChars="200"/>
        <w:rPr>
          <w:rFonts w:hint="eastAsia" w:ascii="仿宋" w:hAnsi="仿宋" w:eastAsia="仿宋"/>
          <w:szCs w:val="21"/>
        </w:rPr>
      </w:pPr>
    </w:p>
    <w:p>
      <w:pPr>
        <w:tabs>
          <w:tab w:val="left" w:pos="567"/>
        </w:tabs>
        <w:ind w:firstLine="420" w:firstLineChars="200"/>
        <w:jc w:val="center"/>
        <w:rPr>
          <w:rFonts w:hint="eastAsia" w:ascii="仿宋" w:hAnsi="仿宋" w:eastAsia="仿宋"/>
          <w:b/>
          <w:bCs/>
          <w:szCs w:val="21"/>
        </w:rPr>
      </w:pPr>
      <w:r>
        <w:rPr>
          <w:rFonts w:ascii="仿宋" w:hAnsi="仿宋" w:eastAsia="仿宋"/>
          <w:szCs w:val="21"/>
        </w:rPr>
        <w:t>表</w:t>
      </w:r>
      <w:r>
        <w:rPr>
          <w:rFonts w:ascii="仿宋" w:hAnsi="仿宋" w:eastAsia="仿宋"/>
          <w:bCs/>
          <w:szCs w:val="21"/>
        </w:rPr>
        <w:t>1：</w:t>
      </w:r>
      <w:r>
        <w:rPr>
          <w:rFonts w:ascii="仿宋" w:hAnsi="仿宋" w:eastAsia="仿宋"/>
          <w:szCs w:val="21"/>
        </w:rPr>
        <w:t>长期信用评级与风险权重对应表</w:t>
      </w:r>
    </w:p>
    <w:tbl>
      <w:tblPr>
        <w:tblStyle w:val="42"/>
        <w:tblW w:w="87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60"/>
        <w:gridCol w:w="1080"/>
        <w:gridCol w:w="1612"/>
        <w:gridCol w:w="1268"/>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jc w:val="center"/>
        </w:trPr>
        <w:tc>
          <w:tcPr>
            <w:tcW w:w="1980" w:type="dxa"/>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长期信用评级</w:t>
            </w:r>
          </w:p>
        </w:tc>
        <w:tc>
          <w:tcPr>
            <w:tcW w:w="1260" w:type="dxa"/>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AAA到AA-</w:t>
            </w:r>
          </w:p>
        </w:tc>
        <w:tc>
          <w:tcPr>
            <w:tcW w:w="1080" w:type="dxa"/>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A+到A-</w:t>
            </w:r>
          </w:p>
        </w:tc>
        <w:tc>
          <w:tcPr>
            <w:tcW w:w="1612" w:type="dxa"/>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BBB+到BBB-</w:t>
            </w:r>
          </w:p>
        </w:tc>
        <w:tc>
          <w:tcPr>
            <w:tcW w:w="1268" w:type="dxa"/>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BB+到BB-</w:t>
            </w:r>
          </w:p>
        </w:tc>
        <w:tc>
          <w:tcPr>
            <w:tcW w:w="1574" w:type="dxa"/>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B+及B+以下</w:t>
            </w:r>
          </w:p>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或者未评级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980" w:type="dxa"/>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资产证券化风险暴露</w:t>
            </w:r>
          </w:p>
        </w:tc>
        <w:tc>
          <w:tcPr>
            <w:tcW w:w="1260" w:type="dxa"/>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15％</w:t>
            </w:r>
          </w:p>
        </w:tc>
        <w:tc>
          <w:tcPr>
            <w:tcW w:w="1080" w:type="dxa"/>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35％</w:t>
            </w:r>
          </w:p>
        </w:tc>
        <w:tc>
          <w:tcPr>
            <w:tcW w:w="1612" w:type="dxa"/>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70％</w:t>
            </w:r>
          </w:p>
        </w:tc>
        <w:tc>
          <w:tcPr>
            <w:tcW w:w="1268" w:type="dxa"/>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220％</w:t>
            </w:r>
          </w:p>
        </w:tc>
        <w:tc>
          <w:tcPr>
            <w:tcW w:w="1574" w:type="dxa"/>
            <w:vAlign w:val="center"/>
          </w:tcPr>
          <w:p>
            <w:pPr>
              <w:pStyle w:val="374"/>
              <w:spacing w:after="0"/>
              <w:jc w:val="center"/>
              <w:rPr>
                <w:rFonts w:hint="eastAsia" w:ascii="仿宋" w:hAnsi="仿宋" w:eastAsia="仿宋"/>
                <w:sz w:val="21"/>
                <w:szCs w:val="21"/>
                <w:lang w:eastAsia="zh-CN"/>
              </w:rPr>
            </w:pPr>
            <w:r>
              <w:rPr>
                <w:rFonts w:hint="eastAsia" w:ascii="仿宋" w:hAnsi="仿宋" w:eastAsia="仿宋"/>
                <w:bCs/>
                <w:sz w:val="21"/>
                <w:szCs w:val="21"/>
                <w:lang w:val="en-US" w:eastAsia="zh-CN"/>
              </w:rPr>
              <w:t>80</w:t>
            </w:r>
            <w:r>
              <w:rPr>
                <w:rFonts w:hint="eastAsia" w:ascii="仿宋" w:hAnsi="仿宋" w:eastAsia="仿宋"/>
                <w:bCs/>
                <w:sz w:val="21"/>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jc w:val="center"/>
        </w:trPr>
        <w:tc>
          <w:tcPr>
            <w:tcW w:w="1980" w:type="dxa"/>
            <w:tcBorders>
              <w:top w:val="single" w:color="auto" w:sz="4" w:space="0"/>
              <w:left w:val="single" w:color="auto" w:sz="4" w:space="0"/>
              <w:bottom w:val="single" w:color="auto" w:sz="4" w:space="0"/>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bCs/>
                <w:sz w:val="21"/>
                <w:szCs w:val="21"/>
                <w:lang w:eastAsia="zh-CN"/>
              </w:rPr>
              <w:t>再资产证券化风险暴露</w:t>
            </w:r>
          </w:p>
        </w:tc>
        <w:tc>
          <w:tcPr>
            <w:tcW w:w="1260" w:type="dxa"/>
            <w:tcBorders>
              <w:top w:val="single" w:color="auto" w:sz="4" w:space="0"/>
              <w:left w:val="single" w:color="auto" w:sz="4" w:space="0"/>
              <w:bottom w:val="single" w:color="auto" w:sz="4" w:space="0"/>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30％</w:t>
            </w:r>
          </w:p>
        </w:tc>
        <w:tc>
          <w:tcPr>
            <w:tcW w:w="1080" w:type="dxa"/>
            <w:tcBorders>
              <w:top w:val="single" w:color="auto" w:sz="4" w:space="0"/>
              <w:left w:val="single" w:color="auto" w:sz="4" w:space="0"/>
              <w:bottom w:val="single" w:color="auto" w:sz="4" w:space="0"/>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70％</w:t>
            </w:r>
          </w:p>
        </w:tc>
        <w:tc>
          <w:tcPr>
            <w:tcW w:w="1612" w:type="dxa"/>
            <w:tcBorders>
              <w:top w:val="single" w:color="auto" w:sz="4" w:space="0"/>
              <w:left w:val="single" w:color="auto" w:sz="4" w:space="0"/>
              <w:bottom w:val="single" w:color="auto" w:sz="4" w:space="0"/>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150％</w:t>
            </w:r>
          </w:p>
        </w:tc>
        <w:tc>
          <w:tcPr>
            <w:tcW w:w="1268" w:type="dxa"/>
            <w:tcBorders>
              <w:top w:val="single" w:color="auto" w:sz="4" w:space="0"/>
              <w:left w:val="single" w:color="auto" w:sz="4" w:space="0"/>
              <w:bottom w:val="single" w:color="auto" w:sz="4" w:space="0"/>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420％</w:t>
            </w:r>
          </w:p>
        </w:tc>
        <w:tc>
          <w:tcPr>
            <w:tcW w:w="1574" w:type="dxa"/>
            <w:tcBorders>
              <w:top w:val="single" w:color="auto" w:sz="4" w:space="0"/>
              <w:left w:val="single" w:color="auto" w:sz="4" w:space="0"/>
              <w:bottom w:val="single" w:color="auto" w:sz="4" w:space="0"/>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bCs/>
                <w:sz w:val="21"/>
                <w:szCs w:val="21"/>
                <w:lang w:val="en-US" w:eastAsia="zh-CN"/>
              </w:rPr>
              <w:t>80</w:t>
            </w:r>
            <w:r>
              <w:rPr>
                <w:rFonts w:hint="eastAsia" w:ascii="仿宋" w:hAnsi="仿宋" w:eastAsia="仿宋"/>
                <w:bCs/>
                <w:sz w:val="21"/>
                <w:szCs w:val="21"/>
                <w:lang w:eastAsia="zh-CN"/>
              </w:rPr>
              <w:t>0%</w:t>
            </w:r>
          </w:p>
        </w:tc>
      </w:tr>
    </w:tbl>
    <w:p>
      <w:pPr>
        <w:pStyle w:val="17"/>
        <w:ind w:left="0" w:leftChars="0" w:firstLine="367" w:firstLineChars="175"/>
        <w:rPr>
          <w:rFonts w:hint="eastAsia" w:ascii="仿宋" w:hAnsi="仿宋" w:eastAsia="仿宋" w:cs="宋体"/>
          <w:szCs w:val="21"/>
        </w:rPr>
      </w:pPr>
      <w:r>
        <w:rPr>
          <w:rFonts w:hint="eastAsia" w:ascii="仿宋" w:hAnsi="仿宋" w:eastAsia="仿宋" w:cs="宋体"/>
          <w:szCs w:val="21"/>
        </w:rPr>
        <w:t>注：长期评级在BB+（含BB+）到BB-（含BB-）之间的，发起机构不适用表中的220%或420%风险权重，而适用800%的风险权重。</w:t>
      </w:r>
    </w:p>
    <w:p>
      <w:pPr>
        <w:pStyle w:val="17"/>
        <w:ind w:left="0" w:leftChars="0" w:firstLine="367" w:firstLineChars="175"/>
        <w:rPr>
          <w:rFonts w:hint="eastAsia" w:ascii="仿宋" w:hAnsi="仿宋" w:eastAsia="仿宋" w:cs="宋体"/>
          <w:szCs w:val="21"/>
        </w:rPr>
      </w:pPr>
    </w:p>
    <w:p>
      <w:pPr>
        <w:tabs>
          <w:tab w:val="left" w:pos="567"/>
        </w:tabs>
        <w:ind w:firstLine="420" w:firstLineChars="200"/>
        <w:jc w:val="center"/>
        <w:rPr>
          <w:rFonts w:hint="eastAsia" w:ascii="仿宋" w:hAnsi="仿宋" w:eastAsia="仿宋"/>
          <w:b/>
          <w:bCs/>
          <w:szCs w:val="21"/>
        </w:rPr>
      </w:pPr>
      <w:r>
        <w:rPr>
          <w:rFonts w:ascii="仿宋" w:hAnsi="仿宋" w:eastAsia="仿宋"/>
          <w:szCs w:val="21"/>
        </w:rPr>
        <w:t>表</w:t>
      </w:r>
      <w:r>
        <w:rPr>
          <w:rFonts w:ascii="仿宋" w:hAnsi="仿宋" w:eastAsia="仿宋"/>
          <w:bCs/>
          <w:szCs w:val="21"/>
        </w:rPr>
        <w:t>2：</w:t>
      </w:r>
      <w:r>
        <w:rPr>
          <w:rFonts w:ascii="仿宋" w:hAnsi="仿宋" w:eastAsia="仿宋"/>
          <w:szCs w:val="21"/>
        </w:rPr>
        <w:t>短期信用评级与风险权重对应表</w:t>
      </w:r>
    </w:p>
    <w:tbl>
      <w:tblPr>
        <w:tblStyle w:val="42"/>
        <w:tblW w:w="75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260"/>
        <w:gridCol w:w="1220"/>
        <w:gridCol w:w="1472"/>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短期信用评级</w:t>
            </w:r>
          </w:p>
        </w:tc>
        <w:tc>
          <w:tcPr>
            <w:tcW w:w="1260" w:type="dxa"/>
            <w:tcBorders>
              <w:top w:val="single" w:color="auto" w:sz="4" w:space="0"/>
              <w:left w:val="single" w:color="auto" w:sz="4" w:space="0"/>
              <w:bottom w:val="single" w:color="auto" w:sz="4" w:space="0"/>
              <w:right w:val="single" w:color="auto" w:sz="4" w:space="0"/>
            </w:tcBorders>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A-1/P-1</w:t>
            </w:r>
          </w:p>
        </w:tc>
        <w:tc>
          <w:tcPr>
            <w:tcW w:w="1220" w:type="dxa"/>
            <w:tcBorders>
              <w:top w:val="single" w:color="auto" w:sz="4" w:space="0"/>
              <w:left w:val="single" w:color="auto" w:sz="4" w:space="0"/>
              <w:bottom w:val="single" w:color="auto" w:sz="4" w:space="0"/>
              <w:right w:val="single" w:color="auto" w:sz="4" w:space="0"/>
            </w:tcBorders>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A-2/P-2</w:t>
            </w:r>
          </w:p>
        </w:tc>
        <w:tc>
          <w:tcPr>
            <w:tcW w:w="1472" w:type="dxa"/>
            <w:tcBorders>
              <w:top w:val="single" w:color="auto" w:sz="4" w:space="0"/>
              <w:left w:val="single" w:color="auto" w:sz="4" w:space="0"/>
              <w:bottom w:val="single" w:color="auto" w:sz="4" w:space="0"/>
              <w:right w:val="single" w:color="auto" w:sz="4" w:space="0"/>
            </w:tcBorders>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A-3/P-3</w:t>
            </w:r>
          </w:p>
        </w:tc>
        <w:tc>
          <w:tcPr>
            <w:tcW w:w="1574" w:type="dxa"/>
            <w:tcBorders>
              <w:top w:val="single" w:color="auto" w:sz="4" w:space="0"/>
              <w:left w:val="single" w:color="auto" w:sz="4" w:space="0"/>
              <w:bottom w:val="single" w:color="auto" w:sz="4" w:space="0"/>
              <w:right w:val="single" w:color="auto" w:sz="4" w:space="0"/>
            </w:tcBorders>
            <w:vAlign w:val="center"/>
          </w:tcPr>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其他评级</w:t>
            </w:r>
          </w:p>
          <w:p>
            <w:pPr>
              <w:pStyle w:val="373"/>
              <w:keepNext/>
              <w:rPr>
                <w:rFonts w:hint="eastAsia" w:ascii="仿宋" w:hAnsi="仿宋" w:eastAsia="仿宋"/>
                <w:b w:val="0"/>
                <w:bCs/>
                <w:sz w:val="21"/>
                <w:szCs w:val="21"/>
                <w:lang w:eastAsia="zh-CN"/>
              </w:rPr>
            </w:pPr>
            <w:r>
              <w:rPr>
                <w:rFonts w:hint="eastAsia" w:ascii="仿宋" w:hAnsi="仿宋" w:eastAsia="仿宋"/>
                <w:b w:val="0"/>
                <w:bCs/>
                <w:sz w:val="21"/>
                <w:szCs w:val="21"/>
                <w:lang w:eastAsia="zh-CN"/>
              </w:rPr>
              <w:t>或者未评级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bCs/>
                <w:sz w:val="21"/>
                <w:szCs w:val="21"/>
                <w:lang w:eastAsia="zh-CN"/>
              </w:rPr>
              <w:t>资产证券化风险暴露</w:t>
            </w:r>
          </w:p>
        </w:tc>
        <w:tc>
          <w:tcPr>
            <w:tcW w:w="1260"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sz w:val="21"/>
                <w:szCs w:val="21"/>
                <w:lang w:eastAsia="zh-CN"/>
              </w:rPr>
              <w:t>15％</w:t>
            </w:r>
          </w:p>
        </w:tc>
        <w:tc>
          <w:tcPr>
            <w:tcW w:w="1220"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sz w:val="21"/>
                <w:szCs w:val="21"/>
                <w:lang w:eastAsia="zh-CN"/>
              </w:rPr>
              <w:t>35％</w:t>
            </w:r>
          </w:p>
        </w:tc>
        <w:tc>
          <w:tcPr>
            <w:tcW w:w="1472"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sz w:val="21"/>
                <w:szCs w:val="21"/>
                <w:lang w:eastAsia="zh-CN"/>
              </w:rPr>
              <w:t>70％</w:t>
            </w:r>
          </w:p>
        </w:tc>
        <w:tc>
          <w:tcPr>
            <w:tcW w:w="1574"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bCs/>
                <w:sz w:val="21"/>
                <w:szCs w:val="21"/>
                <w:lang w:val="en-US" w:eastAsia="zh-CN"/>
              </w:rPr>
              <w:t>80</w:t>
            </w:r>
            <w:r>
              <w:rPr>
                <w:rFonts w:hint="eastAsia" w:ascii="仿宋" w:hAnsi="仿宋" w:eastAsia="仿宋"/>
                <w:b w:val="0"/>
                <w:bCs/>
                <w:sz w:val="21"/>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bCs/>
                <w:sz w:val="21"/>
                <w:szCs w:val="21"/>
                <w:lang w:eastAsia="zh-CN"/>
              </w:rPr>
              <w:t>再资产证券化风险暴露</w:t>
            </w:r>
          </w:p>
        </w:tc>
        <w:tc>
          <w:tcPr>
            <w:tcW w:w="1260"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sz w:val="21"/>
                <w:szCs w:val="21"/>
                <w:lang w:eastAsia="zh-CN"/>
              </w:rPr>
              <w:t>30％</w:t>
            </w:r>
          </w:p>
        </w:tc>
        <w:tc>
          <w:tcPr>
            <w:tcW w:w="1220"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sz w:val="21"/>
                <w:szCs w:val="21"/>
                <w:lang w:eastAsia="zh-CN"/>
              </w:rPr>
              <w:t>70％</w:t>
            </w:r>
          </w:p>
        </w:tc>
        <w:tc>
          <w:tcPr>
            <w:tcW w:w="1472"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sz w:val="21"/>
                <w:szCs w:val="21"/>
                <w:lang w:eastAsia="zh-CN"/>
              </w:rPr>
              <w:t>150％</w:t>
            </w:r>
          </w:p>
        </w:tc>
        <w:tc>
          <w:tcPr>
            <w:tcW w:w="1574" w:type="dxa"/>
            <w:tcBorders>
              <w:top w:val="single" w:color="auto" w:sz="4" w:space="0"/>
              <w:left w:val="single" w:color="auto" w:sz="4" w:space="0"/>
              <w:bottom w:val="single" w:color="auto" w:sz="4" w:space="0"/>
              <w:right w:val="single" w:color="auto" w:sz="4" w:space="0"/>
            </w:tcBorders>
            <w:vAlign w:val="center"/>
          </w:tcPr>
          <w:p>
            <w:pPr>
              <w:pStyle w:val="373"/>
              <w:rPr>
                <w:rFonts w:hint="eastAsia" w:ascii="仿宋" w:hAnsi="仿宋" w:eastAsia="仿宋"/>
                <w:b w:val="0"/>
                <w:bCs/>
                <w:sz w:val="21"/>
                <w:szCs w:val="21"/>
                <w:lang w:eastAsia="zh-CN"/>
              </w:rPr>
            </w:pPr>
            <w:r>
              <w:rPr>
                <w:rFonts w:hint="eastAsia" w:ascii="仿宋" w:hAnsi="仿宋" w:eastAsia="仿宋"/>
                <w:b w:val="0"/>
                <w:bCs/>
                <w:sz w:val="21"/>
                <w:szCs w:val="21"/>
                <w:lang w:val="en-US" w:eastAsia="zh-CN"/>
              </w:rPr>
              <w:t>80</w:t>
            </w:r>
            <w:r>
              <w:rPr>
                <w:rFonts w:hint="eastAsia" w:ascii="仿宋" w:hAnsi="仿宋" w:eastAsia="仿宋"/>
                <w:b w:val="0"/>
                <w:bCs/>
                <w:sz w:val="21"/>
                <w:szCs w:val="21"/>
                <w:lang w:eastAsia="zh-CN"/>
              </w:rPr>
              <w:t>0%</w:t>
            </w:r>
          </w:p>
        </w:tc>
      </w:tr>
      <w:bookmarkEnd w:id="1986"/>
    </w:tbl>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r>
        <w:rPr>
          <w:rFonts w:ascii="仿宋" w:hAnsi="仿宋" w:eastAsia="仿宋"/>
          <w:szCs w:val="21"/>
        </w:rPr>
        <w:t>（二）资产公司应当区分以下情形，为无信用评级或者信用评级未被资产公司认可作为风险权重依据的资产证券化风险暴露和再资产证券化风险暴露（以下简称未评级的资产证券化风险暴露）计提监管资本。</w:t>
      </w:r>
    </w:p>
    <w:p>
      <w:pPr>
        <w:ind w:firstLine="420" w:firstLineChars="200"/>
        <w:rPr>
          <w:rFonts w:hint="eastAsia" w:ascii="仿宋" w:hAnsi="仿宋" w:eastAsia="仿宋"/>
          <w:szCs w:val="21"/>
        </w:rPr>
      </w:pPr>
      <w:r>
        <w:rPr>
          <w:rFonts w:ascii="仿宋" w:hAnsi="仿宋" w:eastAsia="仿宋"/>
          <w:szCs w:val="21"/>
        </w:rPr>
        <w:t>1．对于最高档次的资产证券化风险暴露和再资产证券化风险暴露，如果资产公司能够确定资产池的平均风险权重，则可以按照资产池的平均风险权重确定资产证券化风险暴露的风险权重。</w:t>
      </w:r>
    </w:p>
    <w:p>
      <w:pPr>
        <w:ind w:firstLine="420" w:firstLineChars="200"/>
        <w:rPr>
          <w:rFonts w:hint="eastAsia" w:ascii="仿宋" w:hAnsi="仿宋" w:eastAsia="仿宋"/>
          <w:szCs w:val="21"/>
        </w:rPr>
      </w:pPr>
      <w:r>
        <w:rPr>
          <w:rFonts w:ascii="仿宋" w:hAnsi="仿宋" w:eastAsia="仿宋"/>
          <w:szCs w:val="21"/>
        </w:rPr>
        <w:t>2．对于没有合格外部评级且符合本部分（三）规定的合格流动性便利，按照资产池中单个风险暴露的最高风险权重确定风险权重。</w:t>
      </w:r>
    </w:p>
    <w:p>
      <w:pPr>
        <w:ind w:firstLine="420" w:firstLineChars="200"/>
        <w:rPr>
          <w:rFonts w:hint="eastAsia" w:ascii="仿宋" w:hAnsi="仿宋" w:eastAsia="仿宋"/>
          <w:szCs w:val="21"/>
        </w:rPr>
      </w:pPr>
      <w:r>
        <w:rPr>
          <w:rFonts w:ascii="仿宋" w:hAnsi="仿宋" w:eastAsia="仿宋"/>
          <w:szCs w:val="21"/>
        </w:rPr>
        <w:t>3．其他未评级的资产证券化风险暴露按照800%的风险权重计算风险加权资产。</w:t>
      </w:r>
    </w:p>
    <w:p>
      <w:pPr>
        <w:ind w:firstLine="420" w:firstLineChars="200"/>
        <w:rPr>
          <w:rFonts w:hint="eastAsia" w:ascii="仿宋" w:hAnsi="仿宋" w:eastAsia="仿宋"/>
          <w:szCs w:val="21"/>
        </w:rPr>
      </w:pPr>
      <w:r>
        <w:rPr>
          <w:rFonts w:ascii="仿宋" w:hAnsi="仿宋" w:eastAsia="仿宋"/>
          <w:szCs w:val="21"/>
        </w:rPr>
        <w:t>（三）在满足以下条件的情况下，资产公司提供的流动性便利为合格流动性便利：</w:t>
      </w:r>
    </w:p>
    <w:p>
      <w:pPr>
        <w:ind w:firstLine="420" w:firstLineChars="200"/>
        <w:rPr>
          <w:rFonts w:hint="eastAsia" w:ascii="仿宋" w:hAnsi="仿宋" w:eastAsia="仿宋"/>
          <w:szCs w:val="21"/>
        </w:rPr>
      </w:pPr>
      <w:r>
        <w:rPr>
          <w:rFonts w:ascii="仿宋" w:hAnsi="仿宋" w:eastAsia="仿宋"/>
          <w:szCs w:val="21"/>
        </w:rPr>
        <w:t>1．流动性便利的合同文件明确限定使用流动性便利的情形。流动性便利的金额应当低于基础资产和信用增级所能清偿的全部金额。流动性便利不能用于抵补在其使用之前资产池中产生的任何损失。</w:t>
      </w:r>
    </w:p>
    <w:p>
      <w:pPr>
        <w:ind w:firstLine="420" w:firstLineChars="200"/>
        <w:rPr>
          <w:rFonts w:hint="eastAsia" w:ascii="仿宋" w:hAnsi="仿宋" w:eastAsia="仿宋"/>
          <w:szCs w:val="21"/>
        </w:rPr>
      </w:pPr>
      <w:r>
        <w:rPr>
          <w:rFonts w:ascii="仿宋" w:hAnsi="仿宋" w:eastAsia="仿宋"/>
          <w:szCs w:val="21"/>
        </w:rPr>
        <w:t>2．对流动性便利的使用应当具有不确定性。流动性便利不能用于永久性或者常规性地对资产证券化投资机构提供资金。</w:t>
      </w:r>
    </w:p>
    <w:p>
      <w:pPr>
        <w:ind w:firstLine="420" w:firstLineChars="200"/>
        <w:rPr>
          <w:rFonts w:hint="eastAsia" w:ascii="仿宋" w:hAnsi="仿宋" w:eastAsia="仿宋"/>
          <w:szCs w:val="21"/>
        </w:rPr>
      </w:pPr>
      <w:r>
        <w:rPr>
          <w:rFonts w:ascii="仿宋" w:hAnsi="仿宋" w:eastAsia="仿宋"/>
          <w:szCs w:val="21"/>
        </w:rPr>
        <w:t>3．对流动性便利应当进行资产质量测试，防止其被用于抵补因违约已经产生的信用风险暴露的损失。如果流动性便利用于支持具有外部评级的资产证券化风险暴露，则该项流动性便利只能用于支持外部评级为投资级以上的资产证券化风险暴露。</w:t>
      </w:r>
    </w:p>
    <w:p>
      <w:pPr>
        <w:ind w:firstLine="420" w:firstLineChars="200"/>
        <w:rPr>
          <w:rFonts w:hint="eastAsia" w:ascii="仿宋" w:hAnsi="仿宋" w:eastAsia="仿宋"/>
          <w:szCs w:val="21"/>
        </w:rPr>
      </w:pPr>
      <w:r>
        <w:rPr>
          <w:rFonts w:ascii="仿宋" w:hAnsi="仿宋" w:eastAsia="仿宋"/>
          <w:szCs w:val="21"/>
        </w:rPr>
        <w:t>4．流动性便利不得在所有的信用增级使用完毕之后动用。</w:t>
      </w:r>
    </w:p>
    <w:p>
      <w:pPr>
        <w:ind w:firstLine="420" w:firstLineChars="200"/>
        <w:rPr>
          <w:rFonts w:hint="eastAsia" w:ascii="仿宋" w:hAnsi="仿宋" w:eastAsia="仿宋"/>
          <w:szCs w:val="21"/>
        </w:rPr>
      </w:pPr>
      <w:r>
        <w:rPr>
          <w:rFonts w:ascii="仿宋" w:hAnsi="仿宋" w:eastAsia="仿宋"/>
          <w:szCs w:val="21"/>
        </w:rPr>
        <w:t>5．对流动性便利的偿付不能位于资产证券化交易投资机构之后，也不能延期或者免除债务。</w:t>
      </w:r>
    </w:p>
    <w:p>
      <w:pPr>
        <w:ind w:firstLine="420" w:firstLineChars="200"/>
        <w:rPr>
          <w:rFonts w:hint="eastAsia" w:ascii="仿宋" w:hAnsi="仿宋" w:eastAsia="仿宋"/>
          <w:szCs w:val="21"/>
        </w:rPr>
      </w:pPr>
      <w:r>
        <w:rPr>
          <w:rFonts w:hint="eastAsia" w:ascii="仿宋" w:hAnsi="仿宋" w:eastAsia="仿宋"/>
          <w:szCs w:val="21"/>
        </w:rPr>
        <w:t>（四）</w:t>
      </w:r>
      <w:r>
        <w:rPr>
          <w:rFonts w:ascii="仿宋" w:hAnsi="仿宋" w:eastAsia="仿宋"/>
          <w:szCs w:val="21"/>
        </w:rPr>
        <w:t>在满足以下条件的情况下，贷款服务机构现金透支便利为合格贷款服务机构现金透支便利：</w:t>
      </w:r>
    </w:p>
    <w:p>
      <w:pPr>
        <w:ind w:firstLine="420" w:firstLineChars="200"/>
        <w:rPr>
          <w:rFonts w:hint="eastAsia" w:ascii="仿宋" w:hAnsi="仿宋" w:eastAsia="仿宋"/>
          <w:szCs w:val="21"/>
        </w:rPr>
      </w:pPr>
      <w:r>
        <w:rPr>
          <w:rFonts w:ascii="仿宋" w:hAnsi="仿宋" w:eastAsia="仿宋"/>
          <w:szCs w:val="21"/>
        </w:rPr>
        <w:t>1．贷款服务机构有权得到全额偿付。</w:t>
      </w:r>
    </w:p>
    <w:p>
      <w:pPr>
        <w:ind w:firstLine="396" w:firstLineChars="189"/>
        <w:rPr>
          <w:rFonts w:hint="eastAsia" w:ascii="仿宋" w:hAnsi="仿宋" w:eastAsia="仿宋"/>
          <w:szCs w:val="21"/>
        </w:rPr>
      </w:pPr>
      <w:r>
        <w:rPr>
          <w:rFonts w:ascii="仿宋" w:hAnsi="仿宋" w:eastAsia="仿宋"/>
          <w:szCs w:val="21"/>
        </w:rPr>
        <w:t>2．该现金透支便利具有最高受偿顺序，优先于其他所有对基础资产的求偿权。</w:t>
      </w:r>
    </w:p>
    <w:p>
      <w:pPr>
        <w:ind w:firstLine="396" w:firstLineChars="189"/>
        <w:rPr>
          <w:rFonts w:hint="eastAsia" w:ascii="仿宋" w:hAnsi="仿宋" w:eastAsia="仿宋"/>
          <w:szCs w:val="21"/>
        </w:rPr>
      </w:pPr>
      <w:r>
        <w:rPr>
          <w:rFonts w:ascii="仿宋" w:hAnsi="仿宋" w:eastAsia="仿宋"/>
          <w:szCs w:val="21"/>
        </w:rPr>
        <w:t>（</w:t>
      </w:r>
      <w:r>
        <w:rPr>
          <w:rFonts w:hint="eastAsia" w:ascii="仿宋" w:hAnsi="仿宋" w:eastAsia="仿宋"/>
          <w:szCs w:val="21"/>
        </w:rPr>
        <w:t>五</w:t>
      </w:r>
      <w:r>
        <w:rPr>
          <w:rFonts w:ascii="仿宋" w:hAnsi="仿宋" w:eastAsia="仿宋"/>
          <w:szCs w:val="21"/>
        </w:rPr>
        <w:t>）表外资产证券化风险暴露按照如下方式确定信用转换系数：</w:t>
      </w:r>
    </w:p>
    <w:p>
      <w:pPr>
        <w:ind w:firstLine="420" w:firstLineChars="200"/>
        <w:rPr>
          <w:rFonts w:hint="eastAsia" w:ascii="仿宋" w:hAnsi="仿宋" w:eastAsia="仿宋"/>
          <w:szCs w:val="21"/>
        </w:rPr>
      </w:pPr>
      <w:r>
        <w:rPr>
          <w:rFonts w:ascii="仿宋" w:hAnsi="仿宋" w:eastAsia="仿宋"/>
          <w:szCs w:val="21"/>
        </w:rPr>
        <w:t>1．对于按照外部评级确定风险权重的流动性便利，运用100%的信用转换系数。</w:t>
      </w:r>
    </w:p>
    <w:p>
      <w:pPr>
        <w:ind w:firstLine="420" w:firstLineChars="200"/>
        <w:rPr>
          <w:rFonts w:hint="eastAsia" w:ascii="仿宋" w:hAnsi="仿宋" w:eastAsia="仿宋"/>
          <w:szCs w:val="21"/>
        </w:rPr>
      </w:pPr>
      <w:r>
        <w:rPr>
          <w:rFonts w:ascii="仿宋" w:hAnsi="仿宋" w:eastAsia="仿宋"/>
          <w:szCs w:val="21"/>
        </w:rPr>
        <w:t>2．对于不按照外部信用评级确定风险权重的合格流动性便利，若原始期限不超过1年，则运用20％的信用转换系数；若原始期限大于1年，则运用50%的信用转换系数。</w:t>
      </w:r>
    </w:p>
    <w:p>
      <w:pPr>
        <w:ind w:firstLine="420" w:firstLineChars="200"/>
        <w:rPr>
          <w:rFonts w:hint="eastAsia" w:ascii="仿宋" w:hAnsi="仿宋" w:eastAsia="仿宋"/>
          <w:szCs w:val="21"/>
        </w:rPr>
      </w:pPr>
      <w:r>
        <w:rPr>
          <w:rFonts w:ascii="仿宋" w:hAnsi="仿宋" w:eastAsia="仿宋"/>
          <w:szCs w:val="21"/>
        </w:rPr>
        <w:t>3．对于合格贷款服务机构现金透支便利，按照本附件关于合格流动性便利的有关规定计算监管资本要求。如果合格贷款服务机构现金透支便利可以在无需事先通知的情况下无条件取消，则可以运用0%的信用转换系数</w:t>
      </w:r>
      <w:r>
        <w:rPr>
          <w:rFonts w:hint="eastAsia" w:ascii="仿宋" w:hAnsi="仿宋" w:eastAsia="仿宋"/>
          <w:szCs w:val="21"/>
        </w:rPr>
        <w:t>。</w:t>
      </w:r>
    </w:p>
    <w:p>
      <w:pPr>
        <w:ind w:firstLine="420" w:firstLineChars="200"/>
        <w:rPr>
          <w:rFonts w:hint="eastAsia" w:ascii="仿宋" w:hAnsi="仿宋" w:eastAsia="仿宋"/>
          <w:szCs w:val="21"/>
        </w:rPr>
      </w:pPr>
      <w:r>
        <w:rPr>
          <w:rFonts w:hint="eastAsia" w:ascii="仿宋" w:hAnsi="仿宋" w:eastAsia="仿宋"/>
          <w:szCs w:val="21"/>
        </w:rPr>
        <w:t>4</w:t>
      </w:r>
      <w:r>
        <w:rPr>
          <w:rFonts w:ascii="仿宋" w:hAnsi="仿宋" w:eastAsia="仿宋"/>
          <w:szCs w:val="21"/>
        </w:rPr>
        <w:t>．对于其他的表外资产证券化风险暴露，运用100％的信用转换系数。</w:t>
      </w:r>
    </w:p>
    <w:p>
      <w:pPr>
        <w:ind w:firstLine="420" w:firstLineChars="200"/>
        <w:rPr>
          <w:rFonts w:hint="eastAsia" w:ascii="仿宋" w:hAnsi="仿宋" w:eastAsia="仿宋"/>
          <w:szCs w:val="21"/>
        </w:rPr>
      </w:pPr>
      <w:r>
        <w:rPr>
          <w:rFonts w:ascii="仿宋" w:hAnsi="仿宋" w:eastAsia="仿宋"/>
          <w:szCs w:val="21"/>
        </w:rPr>
        <w:t>（六）采用资产证券化标准法的资产公司在计量具有信用风险缓释工具的资产证券化风险暴露的监管资本时，能够认可的合格风险缓释工具仅限于本办法附件</w:t>
      </w:r>
      <w:r>
        <w:rPr>
          <w:rFonts w:hint="eastAsia" w:ascii="仿宋" w:hAnsi="仿宋" w:eastAsia="仿宋"/>
          <w:szCs w:val="21"/>
        </w:rPr>
        <w:t>1</w:t>
      </w:r>
      <w:r>
        <w:rPr>
          <w:rFonts w:ascii="仿宋" w:hAnsi="仿宋" w:eastAsia="仿宋"/>
          <w:szCs w:val="21"/>
        </w:rPr>
        <w:t>所规定的合格抵质押品及保证。</w:t>
      </w:r>
    </w:p>
    <w:p>
      <w:pPr>
        <w:ind w:firstLine="420" w:firstLineChars="200"/>
        <w:rPr>
          <w:rFonts w:hint="eastAsia" w:ascii="仿宋" w:hAnsi="仿宋" w:eastAsia="仿宋"/>
          <w:szCs w:val="21"/>
        </w:rPr>
      </w:pPr>
      <w:r>
        <w:rPr>
          <w:rFonts w:ascii="仿宋" w:hAnsi="仿宋" w:eastAsia="仿宋"/>
          <w:szCs w:val="21"/>
        </w:rPr>
        <w:t>（七）采用资产证券化标准法的资产公司在计量由合格抵质押品提供信用风险缓释的资产证券化风险暴露的监管资本时，应当按照表内信用风险加权资产计量和风险权重的相关规定确认风险缓释工具的信用风险缓释作用，计算出该资产证券化风险暴露的风险加权资产。</w:t>
      </w:r>
    </w:p>
    <w:p>
      <w:pPr>
        <w:ind w:firstLine="420" w:firstLineChars="200"/>
        <w:rPr>
          <w:rFonts w:hint="eastAsia" w:ascii="仿宋" w:hAnsi="仿宋" w:eastAsia="仿宋"/>
          <w:szCs w:val="21"/>
        </w:rPr>
      </w:pPr>
      <w:r>
        <w:rPr>
          <w:rFonts w:ascii="仿宋" w:hAnsi="仿宋" w:eastAsia="仿宋"/>
          <w:szCs w:val="21"/>
        </w:rPr>
        <w:t>（八）由合格保证人对资产证券化风险暴露提供具有风险缓释作用的信用保护的，该资产证券化风险暴露持有机构可以对具有信用保护的资产证券化风险暴露部分按照对保证人的直接债权计量监管资本要求。</w:t>
      </w:r>
    </w:p>
    <w:p>
      <w:pPr>
        <w:ind w:firstLine="420" w:firstLineChars="200"/>
        <w:rPr>
          <w:rFonts w:hint="eastAsia" w:ascii="仿宋" w:hAnsi="仿宋" w:eastAsia="仿宋"/>
          <w:szCs w:val="21"/>
        </w:rPr>
      </w:pPr>
      <w:r>
        <w:rPr>
          <w:rFonts w:ascii="仿宋" w:hAnsi="仿宋" w:eastAsia="仿宋"/>
          <w:szCs w:val="21"/>
        </w:rPr>
        <w:t>（九）信用风险缓释工具仅覆盖部分资产证券化风险暴露的，对于所覆盖部分，资产公司应当按照本附件的有关规定计量考虑信用风险缓释作用后的监管资本要求；对于未覆盖部分，则应按照不存在信用风险缓释工具的情形计量监管资本要求。</w:t>
      </w:r>
    </w:p>
    <w:p>
      <w:pPr>
        <w:ind w:firstLine="420" w:firstLineChars="200"/>
        <w:rPr>
          <w:rFonts w:hint="eastAsia" w:ascii="仿宋" w:hAnsi="仿宋" w:eastAsia="仿宋"/>
          <w:szCs w:val="21"/>
        </w:rPr>
      </w:pPr>
      <w:r>
        <w:rPr>
          <w:rFonts w:ascii="仿宋" w:hAnsi="仿宋" w:eastAsia="仿宋"/>
          <w:szCs w:val="21"/>
        </w:rPr>
        <w:t>信用风险缓释工具仅覆盖部分资产证券化风险暴露，并且资产证券化风险暴露具有不同档次的，若无明确约定，应当视为该信用风险缓释工具按照从高级到低级的顺序依次为各档次的资产证券化风险暴露提供信用保护。</w:t>
      </w:r>
    </w:p>
    <w:p>
      <w:pPr>
        <w:ind w:firstLine="420" w:firstLineChars="200"/>
        <w:rPr>
          <w:rFonts w:hint="eastAsia" w:ascii="仿宋" w:hAnsi="仿宋" w:eastAsia="仿宋"/>
          <w:szCs w:val="21"/>
        </w:rPr>
      </w:pPr>
      <w:r>
        <w:rPr>
          <w:rFonts w:ascii="仿宋" w:hAnsi="仿宋" w:eastAsia="仿宋"/>
          <w:szCs w:val="21"/>
        </w:rPr>
        <w:t>（十）若信用风险缓释工具的期限比当前风险暴露的期限短，则不具有信用风险缓释作用。</w:t>
      </w:r>
    </w:p>
    <w:p>
      <w:pPr>
        <w:ind w:firstLine="420" w:firstLineChars="200"/>
        <w:rPr>
          <w:rFonts w:hint="eastAsia" w:ascii="仿宋" w:hAnsi="仿宋" w:eastAsia="仿宋"/>
          <w:szCs w:val="21"/>
        </w:rPr>
      </w:pPr>
      <w:r>
        <w:rPr>
          <w:rFonts w:ascii="仿宋" w:hAnsi="仿宋" w:eastAsia="仿宋"/>
          <w:szCs w:val="21"/>
        </w:rPr>
        <w:t>（十一）作为非发起机构的资产公司为资产证券化风险暴露提供信用保护的，应当视同于该资产证券化风险暴露的投资机构来计量监管资本要求。</w:t>
      </w:r>
    </w:p>
    <w:p>
      <w:pPr>
        <w:ind w:firstLine="420" w:firstLineChars="200"/>
        <w:rPr>
          <w:rFonts w:hint="eastAsia" w:ascii="仿宋" w:hAnsi="仿宋" w:eastAsia="仿宋"/>
          <w:szCs w:val="21"/>
        </w:rPr>
      </w:pPr>
      <w:r>
        <w:rPr>
          <w:rFonts w:ascii="仿宋" w:hAnsi="仿宋" w:eastAsia="仿宋"/>
          <w:szCs w:val="21"/>
        </w:rPr>
        <w:t>（十二）除了本部分（十三）规定的例外情形，当资产证券化交易同时具有下列提前摊还情形时，发起机构应当为部分或者全部投资者权益计提资本：</w:t>
      </w:r>
    </w:p>
    <w:p>
      <w:pPr>
        <w:ind w:firstLine="420" w:firstLineChars="200"/>
        <w:rPr>
          <w:rFonts w:hint="eastAsia" w:ascii="仿宋" w:hAnsi="仿宋" w:eastAsia="仿宋"/>
          <w:szCs w:val="21"/>
        </w:rPr>
      </w:pPr>
      <w:r>
        <w:rPr>
          <w:rFonts w:ascii="仿宋" w:hAnsi="仿宋" w:eastAsia="仿宋"/>
          <w:szCs w:val="21"/>
        </w:rPr>
        <w:t>1．在该资产证券化交易中有提前摊还条款的相关安排。</w:t>
      </w:r>
    </w:p>
    <w:p>
      <w:pPr>
        <w:ind w:firstLine="420" w:firstLineChars="200"/>
        <w:rPr>
          <w:rFonts w:hint="eastAsia" w:ascii="仿宋" w:hAnsi="仿宋" w:eastAsia="仿宋"/>
          <w:szCs w:val="21"/>
        </w:rPr>
      </w:pPr>
      <w:r>
        <w:rPr>
          <w:rFonts w:ascii="仿宋" w:hAnsi="仿宋" w:eastAsia="仿宋"/>
          <w:szCs w:val="21"/>
        </w:rPr>
        <w:t>2．基础资产具有循环特征，包括允许借款人在信用额度内在事先约定的限额内变动提款额与还款额而形成的资产。</w:t>
      </w:r>
    </w:p>
    <w:p>
      <w:pPr>
        <w:ind w:firstLine="420" w:firstLineChars="200"/>
        <w:rPr>
          <w:rFonts w:hint="eastAsia" w:ascii="仿宋" w:hAnsi="仿宋" w:eastAsia="仿宋"/>
          <w:szCs w:val="21"/>
        </w:rPr>
      </w:pPr>
      <w:r>
        <w:rPr>
          <w:rFonts w:ascii="仿宋" w:hAnsi="仿宋" w:eastAsia="仿宋"/>
          <w:szCs w:val="21"/>
        </w:rPr>
        <w:t>当基础资产同时包含循环信贷和定期贷款时，发起机构应当对基础资产中的循环信贷风险暴露部分按照本部分（十四）的相关规定计提监管资本。</w:t>
      </w:r>
    </w:p>
    <w:p>
      <w:pPr>
        <w:ind w:firstLine="420" w:firstLineChars="200"/>
        <w:rPr>
          <w:rFonts w:hint="eastAsia" w:ascii="仿宋" w:hAnsi="仿宋" w:eastAsia="仿宋"/>
          <w:szCs w:val="21"/>
        </w:rPr>
      </w:pPr>
      <w:r>
        <w:rPr>
          <w:rFonts w:ascii="仿宋" w:hAnsi="仿宋" w:eastAsia="仿宋"/>
          <w:szCs w:val="21"/>
        </w:rPr>
        <w:t>发起机构为投资者权益计提的监管资本要求不得大于以下两项的最大值：（1）剩余的资产证券化风险暴露的监管资本要求</w:t>
      </w:r>
      <w:r>
        <w:rPr>
          <w:rFonts w:hint="eastAsia" w:ascii="仿宋" w:hAnsi="仿宋" w:eastAsia="仿宋"/>
          <w:szCs w:val="21"/>
        </w:rPr>
        <w:t>，</w:t>
      </w:r>
      <w:r>
        <w:rPr>
          <w:rFonts w:ascii="仿宋" w:hAnsi="仿宋" w:eastAsia="仿宋"/>
          <w:szCs w:val="21"/>
        </w:rPr>
        <w:t>（2）基础资产证券化之前的监管资本要求。</w:t>
      </w:r>
    </w:p>
    <w:p>
      <w:pPr>
        <w:ind w:firstLine="420" w:firstLineChars="200"/>
        <w:rPr>
          <w:rFonts w:hint="eastAsia" w:ascii="仿宋" w:hAnsi="仿宋" w:eastAsia="仿宋"/>
          <w:szCs w:val="21"/>
        </w:rPr>
      </w:pPr>
      <w:r>
        <w:rPr>
          <w:rFonts w:ascii="仿宋" w:hAnsi="仿宋" w:eastAsia="仿宋"/>
          <w:szCs w:val="21"/>
        </w:rPr>
        <w:t>（十三）如有下列任何一项情形，发起机构都无需为证券化交易的提前摊还计提资本：</w:t>
      </w:r>
    </w:p>
    <w:p>
      <w:pPr>
        <w:ind w:firstLine="420" w:firstLineChars="200"/>
        <w:rPr>
          <w:rFonts w:hint="eastAsia" w:ascii="仿宋" w:hAnsi="仿宋" w:eastAsia="仿宋"/>
          <w:szCs w:val="21"/>
        </w:rPr>
      </w:pPr>
      <w:r>
        <w:rPr>
          <w:rFonts w:ascii="仿宋" w:hAnsi="仿宋" w:eastAsia="仿宋"/>
          <w:szCs w:val="21"/>
        </w:rPr>
        <w:t>1．在补充型证券化交易结构中，所补充的基础资产不具有循环特征，而且在提前摊还发生之后，发起机构不能再增加资产池中的基础资产。</w:t>
      </w:r>
    </w:p>
    <w:p>
      <w:pPr>
        <w:ind w:firstLine="420" w:firstLineChars="200"/>
        <w:rPr>
          <w:rFonts w:hint="eastAsia" w:ascii="仿宋" w:hAnsi="仿宋" w:eastAsia="仿宋"/>
          <w:szCs w:val="21"/>
        </w:rPr>
      </w:pPr>
      <w:r>
        <w:rPr>
          <w:rFonts w:ascii="仿宋" w:hAnsi="仿宋" w:eastAsia="仿宋"/>
          <w:szCs w:val="21"/>
        </w:rPr>
        <w:t>2．证券化交易的基础资产池虽然具有循环特征，但证券化交易的提前摊还安排导致其具有定期</w:t>
      </w:r>
      <w:r>
        <w:rPr>
          <w:rFonts w:hint="eastAsia" w:ascii="仿宋" w:hAnsi="仿宋" w:eastAsia="仿宋"/>
          <w:szCs w:val="21"/>
        </w:rPr>
        <w:t>债权</w:t>
      </w:r>
      <w:r>
        <w:rPr>
          <w:rFonts w:ascii="仿宋" w:hAnsi="仿宋" w:eastAsia="仿宋"/>
          <w:szCs w:val="21"/>
        </w:rPr>
        <w:t>性质，使发起机构无需承担基础资产的风险。</w:t>
      </w:r>
    </w:p>
    <w:p>
      <w:pPr>
        <w:ind w:firstLine="420" w:firstLineChars="200"/>
        <w:rPr>
          <w:rFonts w:hint="eastAsia" w:ascii="仿宋" w:hAnsi="仿宋" w:eastAsia="仿宋"/>
          <w:szCs w:val="21"/>
        </w:rPr>
      </w:pPr>
      <w:r>
        <w:rPr>
          <w:rFonts w:ascii="仿宋" w:hAnsi="仿宋" w:eastAsia="仿宋"/>
          <w:szCs w:val="21"/>
        </w:rPr>
        <w:t>3．即使发生提前摊还，资产支持证券投资机构仍然完全承担循环额度</w:t>
      </w:r>
      <w:r>
        <w:rPr>
          <w:rFonts w:hint="eastAsia" w:ascii="仿宋" w:hAnsi="仿宋" w:eastAsia="仿宋"/>
          <w:szCs w:val="21"/>
        </w:rPr>
        <w:t>债务</w:t>
      </w:r>
      <w:r>
        <w:rPr>
          <w:rFonts w:ascii="仿宋" w:hAnsi="仿宋" w:eastAsia="仿宋"/>
          <w:szCs w:val="21"/>
        </w:rPr>
        <w:t>人未来动用</w:t>
      </w:r>
      <w:r>
        <w:rPr>
          <w:rFonts w:hint="eastAsia" w:ascii="仿宋" w:hAnsi="仿宋" w:eastAsia="仿宋"/>
          <w:szCs w:val="21"/>
        </w:rPr>
        <w:t>资金</w:t>
      </w:r>
      <w:r>
        <w:rPr>
          <w:rFonts w:ascii="仿宋" w:hAnsi="仿宋" w:eastAsia="仿宋"/>
          <w:szCs w:val="21"/>
        </w:rPr>
        <w:t>额度的风险。</w:t>
      </w:r>
    </w:p>
    <w:p>
      <w:pPr>
        <w:ind w:firstLine="420" w:firstLineChars="200"/>
        <w:rPr>
          <w:rFonts w:hint="eastAsia" w:ascii="仿宋" w:hAnsi="仿宋" w:eastAsia="仿宋"/>
          <w:szCs w:val="21"/>
        </w:rPr>
      </w:pPr>
      <w:r>
        <w:rPr>
          <w:rFonts w:ascii="仿宋" w:hAnsi="仿宋" w:eastAsia="仿宋"/>
          <w:szCs w:val="21"/>
        </w:rPr>
        <w:t>4．提前摊还的触发机制与证券化交易的基础资产或发起机构无关。</w:t>
      </w:r>
    </w:p>
    <w:p>
      <w:pPr>
        <w:ind w:firstLine="420" w:firstLineChars="200"/>
        <w:rPr>
          <w:rFonts w:hint="eastAsia" w:ascii="仿宋" w:hAnsi="仿宋" w:eastAsia="仿宋"/>
          <w:szCs w:val="21"/>
        </w:rPr>
      </w:pPr>
      <w:r>
        <w:rPr>
          <w:rFonts w:ascii="仿宋" w:hAnsi="仿宋" w:eastAsia="仿宋"/>
          <w:szCs w:val="21"/>
        </w:rPr>
        <w:t>（十四）发起机构为投资者权益计提的资本为以下三项的乘积：</w:t>
      </w:r>
    </w:p>
    <w:p>
      <w:pPr>
        <w:ind w:firstLine="420" w:firstLineChars="200"/>
        <w:rPr>
          <w:rFonts w:hint="eastAsia" w:ascii="仿宋" w:hAnsi="仿宋" w:eastAsia="仿宋"/>
          <w:szCs w:val="21"/>
        </w:rPr>
      </w:pPr>
      <w:r>
        <w:rPr>
          <w:rFonts w:ascii="仿宋" w:hAnsi="仿宋" w:eastAsia="仿宋"/>
          <w:szCs w:val="21"/>
        </w:rPr>
        <w:t>1．投资者权益。</w:t>
      </w:r>
    </w:p>
    <w:p>
      <w:pPr>
        <w:ind w:firstLine="420" w:firstLineChars="200"/>
        <w:rPr>
          <w:rFonts w:hint="eastAsia" w:ascii="仿宋" w:hAnsi="仿宋" w:eastAsia="仿宋"/>
          <w:szCs w:val="21"/>
        </w:rPr>
      </w:pPr>
      <w:r>
        <w:rPr>
          <w:rFonts w:ascii="仿宋" w:hAnsi="仿宋" w:eastAsia="仿宋"/>
          <w:szCs w:val="21"/>
        </w:rPr>
        <w:t>2．相关信用转换系数。</w:t>
      </w:r>
    </w:p>
    <w:p>
      <w:pPr>
        <w:ind w:firstLine="420" w:firstLineChars="200"/>
        <w:rPr>
          <w:rFonts w:hint="eastAsia" w:ascii="仿宋" w:hAnsi="仿宋" w:eastAsia="仿宋"/>
          <w:szCs w:val="21"/>
        </w:rPr>
      </w:pPr>
      <w:r>
        <w:rPr>
          <w:rFonts w:ascii="仿宋" w:hAnsi="仿宋" w:eastAsia="仿宋"/>
          <w:szCs w:val="21"/>
        </w:rPr>
        <w:t>3．基础资产证券化之前的平均风险权重。</w:t>
      </w:r>
    </w:p>
    <w:p>
      <w:pPr>
        <w:ind w:firstLine="420" w:firstLineChars="200"/>
        <w:rPr>
          <w:rFonts w:hint="eastAsia" w:ascii="仿宋" w:hAnsi="仿宋" w:eastAsia="仿宋"/>
          <w:szCs w:val="21"/>
        </w:rPr>
      </w:pPr>
      <w:r>
        <w:rPr>
          <w:rFonts w:ascii="仿宋" w:hAnsi="仿宋" w:eastAsia="仿宋"/>
          <w:szCs w:val="21"/>
        </w:rPr>
        <w:t>投资者权益等于投资机构在证券化基础资产已提取本金余额和未提取本金余额的等价信用金额中所占的数额。在确定未提取本金余额的等价信用金额时，证券化基础资产的未提取本金余额应当根据发起机构与投资机构在已提取本金余额中的份额进行分配。</w:t>
      </w:r>
    </w:p>
    <w:p>
      <w:pPr>
        <w:ind w:firstLine="420" w:firstLineChars="200"/>
        <w:rPr>
          <w:rFonts w:hint="eastAsia" w:ascii="仿宋" w:hAnsi="仿宋" w:eastAsia="仿宋"/>
          <w:szCs w:val="21"/>
        </w:rPr>
      </w:pPr>
      <w:r>
        <w:rPr>
          <w:rFonts w:ascii="仿宋" w:hAnsi="仿宋" w:eastAsia="仿宋"/>
          <w:szCs w:val="21"/>
        </w:rPr>
        <w:t>信用转换系数按照下列两项条件确定：提前摊还是控制型结构还是非控制型结构</w:t>
      </w:r>
      <w:r>
        <w:rPr>
          <w:rFonts w:hint="eastAsia" w:ascii="仿宋" w:hAnsi="仿宋" w:eastAsia="仿宋"/>
          <w:szCs w:val="21"/>
        </w:rPr>
        <w:t>，</w:t>
      </w:r>
      <w:r>
        <w:rPr>
          <w:rFonts w:ascii="仿宋" w:hAnsi="仿宋" w:eastAsia="仿宋"/>
          <w:szCs w:val="21"/>
        </w:rPr>
        <w:t>基础资产为非承诺零售信用额度还是其他信用额度。</w:t>
      </w:r>
    </w:p>
    <w:p>
      <w:pPr>
        <w:ind w:firstLine="420" w:firstLineChars="200"/>
        <w:rPr>
          <w:rFonts w:hint="eastAsia" w:ascii="仿宋" w:hAnsi="仿宋" w:eastAsia="仿宋"/>
          <w:szCs w:val="21"/>
        </w:rPr>
      </w:pPr>
      <w:r>
        <w:rPr>
          <w:rFonts w:ascii="仿宋" w:hAnsi="仿宋" w:eastAsia="仿宋"/>
          <w:szCs w:val="21"/>
        </w:rPr>
        <w:t>（十五）对于具有控制型提前摊还安排的资产证券化交易，发起机构应当根据表3确定信用转换系数：</w:t>
      </w:r>
    </w:p>
    <w:p>
      <w:pPr>
        <w:ind w:firstLine="420" w:firstLineChars="200"/>
        <w:rPr>
          <w:rFonts w:hint="eastAsia" w:ascii="仿宋" w:hAnsi="仿宋" w:eastAsia="仿宋"/>
          <w:szCs w:val="21"/>
        </w:rPr>
      </w:pPr>
      <w:r>
        <w:rPr>
          <w:rFonts w:ascii="仿宋" w:hAnsi="仿宋" w:eastAsia="仿宋"/>
          <w:szCs w:val="21"/>
        </w:rPr>
        <w:t>1．对于承诺型信用额度，适用90%的信用转换系数。</w:t>
      </w:r>
    </w:p>
    <w:p>
      <w:pPr>
        <w:ind w:firstLine="420" w:firstLineChars="200"/>
        <w:rPr>
          <w:rFonts w:hint="eastAsia" w:ascii="仿宋" w:hAnsi="仿宋" w:eastAsia="仿宋"/>
          <w:szCs w:val="21"/>
        </w:rPr>
      </w:pPr>
      <w:r>
        <w:rPr>
          <w:rFonts w:ascii="仿宋" w:hAnsi="仿宋" w:eastAsia="仿宋"/>
          <w:szCs w:val="21"/>
        </w:rPr>
        <w:t>2．对于非承诺的非零售信用额度，适用90%的信用转换系数。</w:t>
      </w:r>
    </w:p>
    <w:p>
      <w:pPr>
        <w:ind w:firstLine="420" w:firstLineChars="200"/>
        <w:rPr>
          <w:rFonts w:hint="eastAsia" w:ascii="仿宋" w:hAnsi="仿宋" w:eastAsia="仿宋"/>
          <w:szCs w:val="21"/>
        </w:rPr>
      </w:pPr>
      <w:r>
        <w:rPr>
          <w:rFonts w:ascii="仿宋" w:hAnsi="仿宋" w:eastAsia="仿宋"/>
          <w:szCs w:val="21"/>
        </w:rPr>
        <w:t>3．对于非承诺的零售信用额度，按照表3中资产证券化交易的“三个月平均超额利差”与“超额利差锁定点”的比值确定信用转换系数。若该证券化交易未设定锁定超额利差，则超额利差锁定点为4.5%。</w:t>
      </w:r>
    </w:p>
    <w:p>
      <w:pPr>
        <w:ind w:firstLine="420" w:firstLineChars="200"/>
        <w:rPr>
          <w:rFonts w:hint="eastAsia" w:ascii="仿宋" w:hAnsi="仿宋" w:eastAsia="仿宋"/>
          <w:szCs w:val="21"/>
        </w:rPr>
      </w:pPr>
    </w:p>
    <w:p>
      <w:pPr>
        <w:tabs>
          <w:tab w:val="left" w:pos="567"/>
        </w:tabs>
        <w:spacing w:line="400" w:lineRule="exact"/>
        <w:ind w:firstLine="420" w:firstLineChars="200"/>
        <w:jc w:val="center"/>
        <w:rPr>
          <w:rFonts w:hint="eastAsia" w:ascii="仿宋" w:hAnsi="仿宋" w:eastAsia="仿宋"/>
          <w:szCs w:val="21"/>
        </w:rPr>
      </w:pPr>
      <w:r>
        <w:rPr>
          <w:rFonts w:ascii="仿宋" w:hAnsi="仿宋" w:eastAsia="仿宋"/>
          <w:szCs w:val="21"/>
        </w:rPr>
        <w:t>表</w:t>
      </w:r>
      <w:r>
        <w:rPr>
          <w:rFonts w:ascii="仿宋" w:hAnsi="仿宋" w:eastAsia="仿宋"/>
          <w:bCs/>
          <w:szCs w:val="21"/>
        </w:rPr>
        <w:t>3：</w:t>
      </w:r>
      <w:r>
        <w:rPr>
          <w:rFonts w:ascii="仿宋" w:hAnsi="仿宋" w:eastAsia="仿宋"/>
          <w:szCs w:val="21"/>
        </w:rPr>
        <w:t>具有控制型提前摊还安排的资产证券化交易的</w:t>
      </w:r>
    </w:p>
    <w:p>
      <w:pPr>
        <w:tabs>
          <w:tab w:val="left" w:pos="567"/>
        </w:tabs>
        <w:spacing w:line="400" w:lineRule="exact"/>
        <w:ind w:firstLine="420" w:firstLineChars="200"/>
        <w:jc w:val="center"/>
        <w:rPr>
          <w:rFonts w:hint="eastAsia" w:ascii="仿宋" w:hAnsi="仿宋" w:eastAsia="仿宋"/>
          <w:szCs w:val="21"/>
        </w:rPr>
      </w:pPr>
      <w:r>
        <w:rPr>
          <w:rFonts w:ascii="仿宋" w:hAnsi="仿宋" w:eastAsia="仿宋"/>
          <w:szCs w:val="21"/>
        </w:rPr>
        <w:t>信用转换系数表</w:t>
      </w:r>
    </w:p>
    <w:tbl>
      <w:tblPr>
        <w:tblStyle w:val="42"/>
        <w:tblW w:w="8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2202"/>
        <w:gridCol w:w="2559"/>
        <w:gridCol w:w="2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trPr>
        <w:tc>
          <w:tcPr>
            <w:tcW w:w="2106" w:type="dxa"/>
            <w:tcBorders>
              <w:left w:val="single" w:color="auto" w:sz="4" w:space="0"/>
              <w:bottom w:val="single" w:color="auto" w:sz="4" w:space="0"/>
            </w:tcBorders>
            <w:vAlign w:val="center"/>
          </w:tcPr>
          <w:p>
            <w:pPr>
              <w:pStyle w:val="373"/>
              <w:keepNext/>
              <w:spacing w:before="60"/>
              <w:rPr>
                <w:rFonts w:hint="eastAsia" w:ascii="仿宋" w:hAnsi="仿宋" w:eastAsia="仿宋"/>
                <w:b w:val="0"/>
                <w:bCs/>
                <w:sz w:val="21"/>
                <w:szCs w:val="21"/>
                <w:lang w:eastAsia="zh-CN"/>
              </w:rPr>
            </w:pPr>
          </w:p>
        </w:tc>
        <w:tc>
          <w:tcPr>
            <w:tcW w:w="4761" w:type="dxa"/>
            <w:gridSpan w:val="2"/>
            <w:tcBorders>
              <w:bottom w:val="single" w:color="auto" w:sz="4" w:space="0"/>
            </w:tcBorders>
            <w:vAlign w:val="center"/>
          </w:tcPr>
          <w:p>
            <w:pPr>
              <w:pStyle w:val="373"/>
              <w:keepNext/>
              <w:spacing w:before="60"/>
              <w:rPr>
                <w:rFonts w:hint="eastAsia" w:ascii="仿宋" w:hAnsi="仿宋" w:eastAsia="仿宋"/>
                <w:b w:val="0"/>
                <w:bCs/>
                <w:sz w:val="21"/>
                <w:szCs w:val="21"/>
                <w:lang w:eastAsia="zh-CN"/>
              </w:rPr>
            </w:pPr>
            <w:r>
              <w:rPr>
                <w:rFonts w:hint="eastAsia" w:ascii="仿宋" w:hAnsi="仿宋" w:eastAsia="仿宋"/>
                <w:b w:val="0"/>
                <w:bCs/>
                <w:sz w:val="21"/>
                <w:szCs w:val="21"/>
                <w:lang w:eastAsia="zh-CN"/>
              </w:rPr>
              <w:t>非承诺型</w:t>
            </w:r>
          </w:p>
        </w:tc>
        <w:tc>
          <w:tcPr>
            <w:tcW w:w="2110" w:type="dxa"/>
            <w:tcBorders>
              <w:bottom w:val="single" w:color="auto" w:sz="4" w:space="0"/>
              <w:right w:val="single" w:color="auto" w:sz="4" w:space="0"/>
            </w:tcBorders>
            <w:vAlign w:val="center"/>
          </w:tcPr>
          <w:p>
            <w:pPr>
              <w:pStyle w:val="373"/>
              <w:keepNext/>
              <w:spacing w:before="60"/>
              <w:rPr>
                <w:rFonts w:hint="eastAsia" w:ascii="仿宋" w:hAnsi="仿宋" w:eastAsia="仿宋"/>
                <w:b w:val="0"/>
                <w:bCs/>
                <w:sz w:val="21"/>
                <w:szCs w:val="21"/>
                <w:lang w:eastAsia="zh-CN"/>
              </w:rPr>
            </w:pPr>
            <w:r>
              <w:rPr>
                <w:rFonts w:hint="eastAsia" w:ascii="仿宋" w:hAnsi="仿宋" w:eastAsia="仿宋"/>
                <w:b w:val="0"/>
                <w:bCs/>
                <w:sz w:val="21"/>
                <w:szCs w:val="21"/>
                <w:lang w:eastAsia="zh-CN"/>
              </w:rPr>
              <w:t>承诺型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exact"/>
        </w:trPr>
        <w:tc>
          <w:tcPr>
            <w:tcW w:w="2106" w:type="dxa"/>
            <w:vMerge w:val="restart"/>
            <w:tcBorders>
              <w:lef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零售信用额度</w:t>
            </w:r>
          </w:p>
        </w:tc>
        <w:tc>
          <w:tcPr>
            <w:tcW w:w="4761" w:type="dxa"/>
            <w:gridSpan w:val="2"/>
            <w:tcBorders>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三个月平均超额利差/超额利差锁定点(R)</w:t>
            </w:r>
          </w:p>
        </w:tc>
        <w:tc>
          <w:tcPr>
            <w:tcW w:w="2110" w:type="dxa"/>
            <w:vMerge w:val="restart"/>
            <w:tcBorders>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90%信用转换系数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exact"/>
        </w:trPr>
        <w:tc>
          <w:tcPr>
            <w:tcW w:w="2106" w:type="dxa"/>
            <w:vMerge w:val="continue"/>
            <w:tcBorders>
              <w:left w:val="single" w:color="auto" w:sz="4" w:space="0"/>
            </w:tcBorders>
            <w:vAlign w:val="center"/>
          </w:tcPr>
          <w:p>
            <w:pPr>
              <w:keepNext/>
              <w:jc w:val="center"/>
              <w:rPr>
                <w:rFonts w:hint="eastAsia" w:ascii="仿宋" w:hAnsi="仿宋" w:eastAsia="仿宋"/>
                <w:szCs w:val="21"/>
              </w:rPr>
            </w:pPr>
          </w:p>
        </w:tc>
        <w:tc>
          <w:tcPr>
            <w:tcW w:w="2202" w:type="dxa"/>
            <w:tcBorders>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R&gt;=133.33%</w:t>
            </w:r>
          </w:p>
        </w:tc>
        <w:tc>
          <w:tcPr>
            <w:tcW w:w="2559" w:type="dxa"/>
            <w:tcBorders>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0%信用转换系数</w:t>
            </w:r>
          </w:p>
        </w:tc>
        <w:tc>
          <w:tcPr>
            <w:tcW w:w="2110" w:type="dxa"/>
            <w:vMerge w:val="continue"/>
            <w:tcBorders>
              <w:right w:val="single" w:color="auto" w:sz="4" w:space="0"/>
            </w:tcBorders>
            <w:vAlign w:val="center"/>
          </w:tcPr>
          <w:p>
            <w:pPr>
              <w:keepNext/>
              <w:jc w:val="center"/>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exact"/>
        </w:trPr>
        <w:tc>
          <w:tcPr>
            <w:tcW w:w="2106" w:type="dxa"/>
            <w:vMerge w:val="continue"/>
            <w:tcBorders>
              <w:left w:val="single" w:color="auto" w:sz="4" w:space="0"/>
            </w:tcBorders>
            <w:vAlign w:val="center"/>
          </w:tcPr>
          <w:p>
            <w:pPr>
              <w:keepNext/>
              <w:jc w:val="center"/>
              <w:rPr>
                <w:rFonts w:hint="eastAsia" w:ascii="仿宋" w:hAnsi="仿宋" w:eastAsia="仿宋"/>
                <w:szCs w:val="21"/>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100%=&lt;R&lt;133.33%</w:t>
            </w:r>
          </w:p>
        </w:tc>
        <w:tc>
          <w:tcPr>
            <w:tcW w:w="2559"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1%信用转换系数</w:t>
            </w:r>
          </w:p>
        </w:tc>
        <w:tc>
          <w:tcPr>
            <w:tcW w:w="2110" w:type="dxa"/>
            <w:vMerge w:val="continue"/>
            <w:tcBorders>
              <w:right w:val="single" w:color="auto" w:sz="4" w:space="0"/>
            </w:tcBorders>
            <w:vAlign w:val="center"/>
          </w:tcPr>
          <w:p>
            <w:pPr>
              <w:keepNext/>
              <w:jc w:val="center"/>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exact"/>
        </w:trPr>
        <w:tc>
          <w:tcPr>
            <w:tcW w:w="2106" w:type="dxa"/>
            <w:vMerge w:val="continue"/>
            <w:tcBorders>
              <w:left w:val="single" w:color="auto" w:sz="4" w:space="0"/>
            </w:tcBorders>
            <w:vAlign w:val="center"/>
          </w:tcPr>
          <w:p>
            <w:pPr>
              <w:keepNext/>
              <w:jc w:val="center"/>
              <w:rPr>
                <w:rFonts w:hint="eastAsia" w:ascii="仿宋" w:hAnsi="仿宋" w:eastAsia="仿宋"/>
                <w:szCs w:val="21"/>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75%＝&lt;R&lt;100%</w:t>
            </w:r>
          </w:p>
        </w:tc>
        <w:tc>
          <w:tcPr>
            <w:tcW w:w="2559"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2%信用转换系数</w:t>
            </w:r>
          </w:p>
        </w:tc>
        <w:tc>
          <w:tcPr>
            <w:tcW w:w="2110" w:type="dxa"/>
            <w:vMerge w:val="continue"/>
            <w:tcBorders>
              <w:right w:val="single" w:color="auto" w:sz="4" w:space="0"/>
            </w:tcBorders>
            <w:vAlign w:val="center"/>
          </w:tcPr>
          <w:p>
            <w:pPr>
              <w:keepNext/>
              <w:jc w:val="center"/>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exact"/>
        </w:trPr>
        <w:tc>
          <w:tcPr>
            <w:tcW w:w="2106" w:type="dxa"/>
            <w:vMerge w:val="continue"/>
            <w:tcBorders>
              <w:left w:val="single" w:color="auto" w:sz="4" w:space="0"/>
            </w:tcBorders>
            <w:vAlign w:val="center"/>
          </w:tcPr>
          <w:p>
            <w:pPr>
              <w:keepNext/>
              <w:jc w:val="center"/>
              <w:rPr>
                <w:rFonts w:hint="eastAsia" w:ascii="仿宋" w:hAnsi="仿宋" w:eastAsia="仿宋"/>
                <w:szCs w:val="21"/>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50%=&lt;R&lt;75%</w:t>
            </w:r>
          </w:p>
        </w:tc>
        <w:tc>
          <w:tcPr>
            <w:tcW w:w="2559"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10%信用转换系数</w:t>
            </w:r>
          </w:p>
        </w:tc>
        <w:tc>
          <w:tcPr>
            <w:tcW w:w="2110" w:type="dxa"/>
            <w:vMerge w:val="continue"/>
            <w:tcBorders>
              <w:right w:val="single" w:color="auto" w:sz="4" w:space="0"/>
            </w:tcBorders>
            <w:vAlign w:val="center"/>
          </w:tcPr>
          <w:p>
            <w:pPr>
              <w:keepNext/>
              <w:jc w:val="center"/>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exact"/>
        </w:trPr>
        <w:tc>
          <w:tcPr>
            <w:tcW w:w="2106" w:type="dxa"/>
            <w:vMerge w:val="continue"/>
            <w:tcBorders>
              <w:left w:val="single" w:color="auto" w:sz="4" w:space="0"/>
            </w:tcBorders>
            <w:vAlign w:val="center"/>
          </w:tcPr>
          <w:p>
            <w:pPr>
              <w:keepNext/>
              <w:jc w:val="center"/>
              <w:rPr>
                <w:rFonts w:hint="eastAsia" w:ascii="仿宋" w:hAnsi="仿宋" w:eastAsia="仿宋"/>
                <w:szCs w:val="21"/>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25%=&lt;R&lt;50%</w:t>
            </w:r>
          </w:p>
        </w:tc>
        <w:tc>
          <w:tcPr>
            <w:tcW w:w="2559"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20%信用转换系数</w:t>
            </w:r>
          </w:p>
        </w:tc>
        <w:tc>
          <w:tcPr>
            <w:tcW w:w="2110" w:type="dxa"/>
            <w:vMerge w:val="continue"/>
            <w:tcBorders>
              <w:right w:val="single" w:color="auto" w:sz="4" w:space="0"/>
            </w:tcBorders>
            <w:vAlign w:val="center"/>
          </w:tcPr>
          <w:p>
            <w:pPr>
              <w:keepNext/>
              <w:jc w:val="center"/>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exact"/>
        </w:trPr>
        <w:tc>
          <w:tcPr>
            <w:tcW w:w="2106" w:type="dxa"/>
            <w:vMerge w:val="continue"/>
            <w:tcBorders>
              <w:left w:val="single" w:color="auto" w:sz="4" w:space="0"/>
              <w:bottom w:val="single" w:color="auto" w:sz="4" w:space="0"/>
            </w:tcBorders>
            <w:vAlign w:val="center"/>
          </w:tcPr>
          <w:p>
            <w:pPr>
              <w:keepNext/>
              <w:jc w:val="center"/>
              <w:rPr>
                <w:rFonts w:hint="eastAsia" w:ascii="仿宋" w:hAnsi="仿宋" w:eastAsia="仿宋"/>
                <w:szCs w:val="21"/>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R&lt;25%</w:t>
            </w:r>
          </w:p>
        </w:tc>
        <w:tc>
          <w:tcPr>
            <w:tcW w:w="2559"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40%信用转换系数</w:t>
            </w:r>
          </w:p>
        </w:tc>
        <w:tc>
          <w:tcPr>
            <w:tcW w:w="2110" w:type="dxa"/>
            <w:vMerge w:val="continue"/>
            <w:tcBorders>
              <w:bottom w:val="single" w:color="auto" w:sz="4" w:space="0"/>
              <w:right w:val="single" w:color="auto" w:sz="4" w:space="0"/>
            </w:tcBorders>
            <w:vAlign w:val="center"/>
          </w:tcPr>
          <w:p>
            <w:pPr>
              <w:keepNext/>
              <w:jc w:val="center"/>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trPr>
        <w:tc>
          <w:tcPr>
            <w:tcW w:w="2106" w:type="dxa"/>
            <w:tcBorders>
              <w:lef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非零售信用额度</w:t>
            </w:r>
          </w:p>
        </w:tc>
        <w:tc>
          <w:tcPr>
            <w:tcW w:w="4761" w:type="dxa"/>
            <w:gridSpan w:val="2"/>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90%信用转换系数</w:t>
            </w:r>
          </w:p>
        </w:tc>
        <w:tc>
          <w:tcPr>
            <w:tcW w:w="2110" w:type="dxa"/>
            <w:tcBorders>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90%信用转换系数</w:t>
            </w:r>
          </w:p>
        </w:tc>
      </w:tr>
    </w:tbl>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r>
        <w:rPr>
          <w:rFonts w:ascii="仿宋" w:hAnsi="仿宋" w:eastAsia="仿宋"/>
          <w:szCs w:val="21"/>
        </w:rPr>
        <w:t>（十六）对于具有非控制型提前摊还安排的资产证券化交易，发起机构应当按照表4确定信用转换系数：</w:t>
      </w:r>
    </w:p>
    <w:p>
      <w:pPr>
        <w:ind w:firstLine="420" w:firstLineChars="200"/>
        <w:rPr>
          <w:rFonts w:hint="eastAsia" w:ascii="仿宋" w:hAnsi="仿宋" w:eastAsia="仿宋"/>
          <w:szCs w:val="21"/>
        </w:rPr>
      </w:pPr>
      <w:r>
        <w:rPr>
          <w:rFonts w:ascii="仿宋" w:hAnsi="仿宋" w:eastAsia="仿宋"/>
          <w:szCs w:val="21"/>
        </w:rPr>
        <w:t>1．对于承诺型信用额度，适用100%的信用转换系数。</w:t>
      </w:r>
    </w:p>
    <w:p>
      <w:pPr>
        <w:ind w:firstLine="420" w:firstLineChars="200"/>
        <w:rPr>
          <w:rFonts w:hint="eastAsia" w:ascii="仿宋" w:hAnsi="仿宋" w:eastAsia="仿宋"/>
          <w:szCs w:val="21"/>
        </w:rPr>
      </w:pPr>
      <w:r>
        <w:rPr>
          <w:rFonts w:ascii="仿宋" w:hAnsi="仿宋" w:eastAsia="仿宋"/>
          <w:szCs w:val="21"/>
        </w:rPr>
        <w:t>2．对于非承诺的非零售信用额度，适用100%的信用转换系数。</w:t>
      </w:r>
    </w:p>
    <w:p>
      <w:pPr>
        <w:ind w:firstLine="420" w:firstLineChars="200"/>
        <w:rPr>
          <w:rFonts w:hint="eastAsia" w:ascii="仿宋" w:hAnsi="仿宋" w:eastAsia="仿宋"/>
          <w:szCs w:val="21"/>
        </w:rPr>
      </w:pPr>
      <w:r>
        <w:rPr>
          <w:rFonts w:ascii="仿宋" w:hAnsi="仿宋" w:eastAsia="仿宋"/>
          <w:szCs w:val="21"/>
        </w:rPr>
        <w:t>3．对于非承诺的零售信用额度，按照表4中资产证券化交易的“三个月平均超额利差”与“超额利差锁定点”的比值确定信用转换系数。若该证券化交易未设定锁定超额利差，则超额利差锁定点为4.5%。</w:t>
      </w:r>
    </w:p>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p>
    <w:p>
      <w:pPr>
        <w:jc w:val="center"/>
        <w:rPr>
          <w:rFonts w:hint="eastAsia" w:ascii="仿宋" w:hAnsi="仿宋" w:eastAsia="仿宋"/>
          <w:szCs w:val="21"/>
        </w:rPr>
      </w:pPr>
      <w:r>
        <w:rPr>
          <w:rFonts w:ascii="Calibri" w:hAnsi="Calibri" w:eastAsia="仿宋" w:cs="Calibri"/>
          <w:b/>
          <w:szCs w:val="21"/>
        </w:rPr>
        <w:t> </w:t>
      </w:r>
      <w:r>
        <w:rPr>
          <w:rFonts w:ascii="仿宋" w:hAnsi="仿宋" w:eastAsia="仿宋"/>
          <w:szCs w:val="21"/>
        </w:rPr>
        <w:t>表</w:t>
      </w:r>
      <w:r>
        <w:rPr>
          <w:rFonts w:ascii="仿宋" w:hAnsi="仿宋" w:eastAsia="仿宋"/>
          <w:bCs/>
          <w:szCs w:val="21"/>
        </w:rPr>
        <w:t>4：</w:t>
      </w:r>
      <w:r>
        <w:rPr>
          <w:rFonts w:ascii="仿宋" w:hAnsi="仿宋" w:eastAsia="仿宋"/>
          <w:szCs w:val="21"/>
        </w:rPr>
        <w:t>具有非控制型提前摊还安排的资产证券化交易的</w:t>
      </w:r>
    </w:p>
    <w:p>
      <w:pPr>
        <w:jc w:val="center"/>
        <w:rPr>
          <w:rFonts w:hint="eastAsia" w:ascii="仿宋" w:hAnsi="仿宋" w:eastAsia="仿宋"/>
          <w:szCs w:val="21"/>
        </w:rPr>
      </w:pPr>
      <w:r>
        <w:rPr>
          <w:rFonts w:ascii="仿宋" w:hAnsi="仿宋" w:eastAsia="仿宋"/>
          <w:szCs w:val="21"/>
        </w:rPr>
        <w:t>信用转换系数表</w:t>
      </w:r>
    </w:p>
    <w:tbl>
      <w:tblPr>
        <w:tblStyle w:val="42"/>
        <w:tblW w:w="916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2202"/>
        <w:gridCol w:w="2560"/>
        <w:gridCol w:w="229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06" w:type="dxa"/>
            <w:tcBorders>
              <w:left w:val="single" w:color="auto" w:sz="4" w:space="0"/>
            </w:tcBorders>
            <w:vAlign w:val="center"/>
          </w:tcPr>
          <w:p>
            <w:pPr>
              <w:pStyle w:val="373"/>
              <w:keepNext/>
              <w:spacing w:before="60"/>
              <w:rPr>
                <w:rFonts w:hint="eastAsia" w:ascii="仿宋" w:hAnsi="仿宋" w:eastAsia="仿宋"/>
                <w:b w:val="0"/>
                <w:bCs/>
                <w:sz w:val="21"/>
                <w:szCs w:val="21"/>
                <w:lang w:eastAsia="zh-CN"/>
              </w:rPr>
            </w:pPr>
          </w:p>
        </w:tc>
        <w:tc>
          <w:tcPr>
            <w:tcW w:w="4762" w:type="dxa"/>
            <w:gridSpan w:val="2"/>
            <w:vAlign w:val="center"/>
          </w:tcPr>
          <w:p>
            <w:pPr>
              <w:pStyle w:val="373"/>
              <w:keepNext/>
              <w:spacing w:before="60"/>
              <w:rPr>
                <w:rFonts w:hint="eastAsia" w:ascii="仿宋" w:hAnsi="仿宋" w:eastAsia="仿宋"/>
                <w:b w:val="0"/>
                <w:bCs/>
                <w:sz w:val="21"/>
                <w:szCs w:val="21"/>
                <w:lang w:eastAsia="zh-CN"/>
              </w:rPr>
            </w:pPr>
            <w:r>
              <w:rPr>
                <w:rFonts w:hint="eastAsia" w:ascii="仿宋" w:hAnsi="仿宋" w:eastAsia="仿宋"/>
                <w:b w:val="0"/>
                <w:bCs/>
                <w:sz w:val="21"/>
                <w:szCs w:val="21"/>
                <w:lang w:eastAsia="zh-CN"/>
              </w:rPr>
              <w:t>非承诺型</w:t>
            </w:r>
          </w:p>
        </w:tc>
        <w:tc>
          <w:tcPr>
            <w:tcW w:w="2294" w:type="dxa"/>
            <w:tcBorders>
              <w:right w:val="single" w:color="auto" w:sz="4" w:space="0"/>
            </w:tcBorders>
            <w:vAlign w:val="center"/>
          </w:tcPr>
          <w:p>
            <w:pPr>
              <w:pStyle w:val="373"/>
              <w:keepNext/>
              <w:spacing w:before="60"/>
              <w:rPr>
                <w:rFonts w:hint="eastAsia" w:ascii="仿宋" w:hAnsi="仿宋" w:eastAsia="仿宋"/>
                <w:b w:val="0"/>
                <w:bCs/>
                <w:sz w:val="21"/>
                <w:szCs w:val="21"/>
                <w:lang w:eastAsia="zh-CN"/>
              </w:rPr>
            </w:pPr>
            <w:r>
              <w:rPr>
                <w:rFonts w:hint="eastAsia" w:ascii="仿宋" w:hAnsi="仿宋" w:eastAsia="仿宋"/>
                <w:b w:val="0"/>
                <w:bCs/>
                <w:sz w:val="21"/>
                <w:szCs w:val="21"/>
                <w:lang w:eastAsia="zh-CN"/>
              </w:rPr>
              <w:t>承诺型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352" w:hRule="atLeast"/>
        </w:trPr>
        <w:tc>
          <w:tcPr>
            <w:tcW w:w="2106" w:type="dxa"/>
            <w:vMerge w:val="restart"/>
            <w:tcBorders>
              <w:lef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零售信用额度</w:t>
            </w:r>
          </w:p>
        </w:tc>
        <w:tc>
          <w:tcPr>
            <w:tcW w:w="4762" w:type="dxa"/>
            <w:gridSpan w:val="2"/>
            <w:tcBorders>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三个月平均超额利差/超额利差锁定点(R)</w:t>
            </w:r>
          </w:p>
        </w:tc>
        <w:tc>
          <w:tcPr>
            <w:tcW w:w="2294" w:type="dxa"/>
            <w:vMerge w:val="restart"/>
            <w:tcBorders>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100%信用转换系数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Pr>
        <w:tc>
          <w:tcPr>
            <w:tcW w:w="2106" w:type="dxa"/>
            <w:vMerge w:val="continue"/>
            <w:tcBorders>
              <w:left w:val="single" w:color="auto" w:sz="4" w:space="0"/>
            </w:tcBorders>
            <w:vAlign w:val="center"/>
          </w:tcPr>
          <w:p>
            <w:pPr>
              <w:pStyle w:val="374"/>
              <w:spacing w:after="0"/>
              <w:jc w:val="center"/>
              <w:rPr>
                <w:rFonts w:hint="eastAsia" w:ascii="仿宋" w:hAnsi="仿宋" w:eastAsia="仿宋"/>
                <w:sz w:val="21"/>
                <w:szCs w:val="21"/>
                <w:lang w:eastAsia="zh-CN"/>
              </w:rPr>
            </w:pPr>
          </w:p>
        </w:tc>
        <w:tc>
          <w:tcPr>
            <w:tcW w:w="2202" w:type="dxa"/>
            <w:tcBorders>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R&gt;=133.33%</w:t>
            </w:r>
          </w:p>
        </w:tc>
        <w:tc>
          <w:tcPr>
            <w:tcW w:w="2560" w:type="dxa"/>
            <w:tcBorders>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0%信用转换系数</w:t>
            </w:r>
          </w:p>
        </w:tc>
        <w:tc>
          <w:tcPr>
            <w:tcW w:w="2294" w:type="dxa"/>
            <w:vMerge w:val="continue"/>
            <w:tcBorders>
              <w:right w:val="single" w:color="auto" w:sz="4" w:space="0"/>
            </w:tcBorders>
            <w:vAlign w:val="center"/>
          </w:tcPr>
          <w:p>
            <w:pPr>
              <w:pStyle w:val="374"/>
              <w:spacing w:after="0"/>
              <w:jc w:val="center"/>
              <w:rPr>
                <w:rFonts w:hint="eastAsia" w:ascii="仿宋" w:hAnsi="仿宋" w:eastAsia="仿宋"/>
                <w:sz w:val="21"/>
                <w:szCs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Pr>
        <w:tc>
          <w:tcPr>
            <w:tcW w:w="2106" w:type="dxa"/>
            <w:vMerge w:val="continue"/>
            <w:tcBorders>
              <w:left w:val="single" w:color="auto" w:sz="4" w:space="0"/>
            </w:tcBorders>
            <w:vAlign w:val="center"/>
          </w:tcPr>
          <w:p>
            <w:pPr>
              <w:pStyle w:val="374"/>
              <w:spacing w:after="0"/>
              <w:jc w:val="center"/>
              <w:rPr>
                <w:rFonts w:hint="eastAsia" w:ascii="仿宋" w:hAnsi="仿宋" w:eastAsia="仿宋"/>
                <w:sz w:val="21"/>
                <w:szCs w:val="21"/>
                <w:lang w:eastAsia="zh-CN"/>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100%=&lt;R&lt;133.33%</w:t>
            </w:r>
          </w:p>
        </w:tc>
        <w:tc>
          <w:tcPr>
            <w:tcW w:w="2560"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5%信用转换系数</w:t>
            </w:r>
          </w:p>
        </w:tc>
        <w:tc>
          <w:tcPr>
            <w:tcW w:w="2294" w:type="dxa"/>
            <w:vMerge w:val="continue"/>
            <w:tcBorders>
              <w:right w:val="single" w:color="auto" w:sz="4" w:space="0"/>
            </w:tcBorders>
            <w:vAlign w:val="center"/>
          </w:tcPr>
          <w:p>
            <w:pPr>
              <w:pStyle w:val="374"/>
              <w:spacing w:after="0"/>
              <w:jc w:val="center"/>
              <w:rPr>
                <w:rFonts w:hint="eastAsia" w:ascii="仿宋" w:hAnsi="仿宋" w:eastAsia="仿宋"/>
                <w:sz w:val="21"/>
                <w:szCs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Pr>
        <w:tc>
          <w:tcPr>
            <w:tcW w:w="2106" w:type="dxa"/>
            <w:vMerge w:val="continue"/>
            <w:tcBorders>
              <w:left w:val="single" w:color="auto" w:sz="4" w:space="0"/>
            </w:tcBorders>
            <w:vAlign w:val="center"/>
          </w:tcPr>
          <w:p>
            <w:pPr>
              <w:pStyle w:val="374"/>
              <w:spacing w:after="0"/>
              <w:jc w:val="center"/>
              <w:rPr>
                <w:rFonts w:hint="eastAsia" w:ascii="仿宋" w:hAnsi="仿宋" w:eastAsia="仿宋"/>
                <w:sz w:val="21"/>
                <w:szCs w:val="21"/>
                <w:lang w:eastAsia="zh-CN"/>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75%＝&lt;R&lt;100%</w:t>
            </w:r>
          </w:p>
        </w:tc>
        <w:tc>
          <w:tcPr>
            <w:tcW w:w="2560"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15%信用转换系数</w:t>
            </w:r>
          </w:p>
        </w:tc>
        <w:tc>
          <w:tcPr>
            <w:tcW w:w="2294" w:type="dxa"/>
            <w:vMerge w:val="continue"/>
            <w:tcBorders>
              <w:right w:val="single" w:color="auto" w:sz="4" w:space="0"/>
            </w:tcBorders>
            <w:vAlign w:val="center"/>
          </w:tcPr>
          <w:p>
            <w:pPr>
              <w:pStyle w:val="374"/>
              <w:spacing w:after="0"/>
              <w:jc w:val="center"/>
              <w:rPr>
                <w:rFonts w:hint="eastAsia" w:ascii="仿宋" w:hAnsi="仿宋" w:eastAsia="仿宋"/>
                <w:sz w:val="21"/>
                <w:szCs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Pr>
        <w:tc>
          <w:tcPr>
            <w:tcW w:w="2106" w:type="dxa"/>
            <w:vMerge w:val="continue"/>
            <w:tcBorders>
              <w:left w:val="single" w:color="auto" w:sz="4" w:space="0"/>
            </w:tcBorders>
            <w:vAlign w:val="center"/>
          </w:tcPr>
          <w:p>
            <w:pPr>
              <w:pStyle w:val="374"/>
              <w:spacing w:after="0"/>
              <w:jc w:val="center"/>
              <w:rPr>
                <w:rFonts w:hint="eastAsia" w:ascii="仿宋" w:hAnsi="仿宋" w:eastAsia="仿宋"/>
                <w:sz w:val="21"/>
                <w:szCs w:val="21"/>
                <w:lang w:eastAsia="zh-CN"/>
              </w:rPr>
            </w:pPr>
          </w:p>
        </w:tc>
        <w:tc>
          <w:tcPr>
            <w:tcW w:w="2202"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50%=&lt;R&lt;75%</w:t>
            </w:r>
          </w:p>
        </w:tc>
        <w:tc>
          <w:tcPr>
            <w:tcW w:w="2560" w:type="dxa"/>
            <w:tcBorders>
              <w:top w:val="single" w:color="auto" w:sz="4" w:space="0"/>
              <w:bottom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50%信用转换系数</w:t>
            </w:r>
          </w:p>
        </w:tc>
        <w:tc>
          <w:tcPr>
            <w:tcW w:w="2294" w:type="dxa"/>
            <w:vMerge w:val="continue"/>
            <w:tcBorders>
              <w:right w:val="single" w:color="auto" w:sz="4" w:space="0"/>
            </w:tcBorders>
            <w:vAlign w:val="center"/>
          </w:tcPr>
          <w:p>
            <w:pPr>
              <w:pStyle w:val="374"/>
              <w:spacing w:after="0"/>
              <w:jc w:val="center"/>
              <w:rPr>
                <w:rFonts w:hint="eastAsia" w:ascii="仿宋" w:hAnsi="仿宋" w:eastAsia="仿宋"/>
                <w:sz w:val="21"/>
                <w:szCs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Pr>
        <w:tc>
          <w:tcPr>
            <w:tcW w:w="2106" w:type="dxa"/>
            <w:vMerge w:val="continue"/>
            <w:tcBorders>
              <w:left w:val="single" w:color="auto" w:sz="4" w:space="0"/>
            </w:tcBorders>
            <w:vAlign w:val="center"/>
          </w:tcPr>
          <w:p>
            <w:pPr>
              <w:pStyle w:val="374"/>
              <w:spacing w:after="0"/>
              <w:jc w:val="center"/>
              <w:rPr>
                <w:rFonts w:hint="eastAsia" w:ascii="仿宋" w:hAnsi="仿宋" w:eastAsia="仿宋"/>
                <w:sz w:val="21"/>
                <w:szCs w:val="21"/>
                <w:lang w:eastAsia="zh-CN"/>
              </w:rPr>
            </w:pPr>
          </w:p>
        </w:tc>
        <w:tc>
          <w:tcPr>
            <w:tcW w:w="2202" w:type="dxa"/>
            <w:tcBorders>
              <w:top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R&lt;50%</w:t>
            </w:r>
          </w:p>
        </w:tc>
        <w:tc>
          <w:tcPr>
            <w:tcW w:w="2560" w:type="dxa"/>
            <w:tcBorders>
              <w:top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100%信用转换系数</w:t>
            </w:r>
          </w:p>
        </w:tc>
        <w:tc>
          <w:tcPr>
            <w:tcW w:w="2294" w:type="dxa"/>
            <w:vMerge w:val="continue"/>
            <w:tcBorders>
              <w:right w:val="single" w:color="auto" w:sz="4" w:space="0"/>
            </w:tcBorders>
            <w:vAlign w:val="center"/>
          </w:tcPr>
          <w:p>
            <w:pPr>
              <w:pStyle w:val="374"/>
              <w:spacing w:after="0"/>
              <w:jc w:val="center"/>
              <w:rPr>
                <w:rFonts w:hint="eastAsia" w:ascii="仿宋" w:hAnsi="仿宋" w:eastAsia="仿宋"/>
                <w:sz w:val="21"/>
                <w:szCs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2106" w:type="dxa"/>
            <w:tcBorders>
              <w:lef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非零售信用额度</w:t>
            </w:r>
          </w:p>
        </w:tc>
        <w:tc>
          <w:tcPr>
            <w:tcW w:w="4762" w:type="dxa"/>
            <w:gridSpan w:val="2"/>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100%信用转换系数</w:t>
            </w:r>
          </w:p>
        </w:tc>
        <w:tc>
          <w:tcPr>
            <w:tcW w:w="2294" w:type="dxa"/>
            <w:tcBorders>
              <w:right w:val="single" w:color="auto" w:sz="4" w:space="0"/>
            </w:tcBorders>
            <w:vAlign w:val="center"/>
          </w:tcPr>
          <w:p>
            <w:pPr>
              <w:pStyle w:val="374"/>
              <w:spacing w:after="0"/>
              <w:jc w:val="center"/>
              <w:rPr>
                <w:rFonts w:hint="eastAsia" w:ascii="仿宋" w:hAnsi="仿宋" w:eastAsia="仿宋"/>
                <w:sz w:val="21"/>
                <w:szCs w:val="21"/>
                <w:lang w:eastAsia="zh-CN"/>
              </w:rPr>
            </w:pPr>
            <w:r>
              <w:rPr>
                <w:rFonts w:hint="eastAsia" w:ascii="仿宋" w:hAnsi="仿宋" w:eastAsia="仿宋"/>
                <w:sz w:val="21"/>
                <w:szCs w:val="21"/>
                <w:lang w:eastAsia="zh-CN"/>
              </w:rPr>
              <w:t>100%信用转换系数</w:t>
            </w:r>
          </w:p>
        </w:tc>
      </w:tr>
    </w:tbl>
    <w:p>
      <w:pPr>
        <w:ind w:firstLine="420" w:firstLineChars="200"/>
        <w:rPr>
          <w:rFonts w:hint="eastAsia" w:ascii="仿宋" w:hAnsi="仿宋" w:eastAsia="仿宋"/>
          <w:szCs w:val="21"/>
        </w:rPr>
      </w:pPr>
    </w:p>
    <w:p>
      <w:pPr>
        <w:ind w:firstLine="420" w:firstLineChars="200"/>
        <w:rPr>
          <w:rFonts w:hint="eastAsia" w:ascii="仿宋" w:hAnsi="仿宋" w:eastAsia="仿宋"/>
          <w:b/>
          <w:szCs w:val="21"/>
        </w:rPr>
      </w:pPr>
      <w:r>
        <w:rPr>
          <w:rFonts w:ascii="仿宋" w:hAnsi="仿宋" w:eastAsia="仿宋"/>
          <w:bCs/>
          <w:szCs w:val="21"/>
        </w:rPr>
        <w:t>四、外部评级使用规范</w:t>
      </w:r>
    </w:p>
    <w:p>
      <w:pPr>
        <w:ind w:firstLine="640"/>
        <w:rPr>
          <w:rFonts w:hint="eastAsia" w:ascii="仿宋" w:hAnsi="仿宋" w:eastAsia="仿宋"/>
          <w:szCs w:val="21"/>
        </w:rPr>
      </w:pPr>
      <w:r>
        <w:rPr>
          <w:rFonts w:ascii="仿宋" w:hAnsi="仿宋" w:eastAsia="仿宋"/>
          <w:szCs w:val="21"/>
        </w:rPr>
        <w:t>使用外部信用评级结果计量资产证券化风险暴露资本要求时，除满足《商业银行资本管理办法（试行）》附件17的外部评级使用规范外，还应满足下列操作标准：</w:t>
      </w:r>
    </w:p>
    <w:p>
      <w:pPr>
        <w:ind w:firstLine="640"/>
        <w:rPr>
          <w:rFonts w:hint="eastAsia" w:ascii="仿宋" w:hAnsi="仿宋" w:eastAsia="仿宋"/>
          <w:szCs w:val="21"/>
        </w:rPr>
      </w:pPr>
      <w:r>
        <w:rPr>
          <w:rFonts w:ascii="仿宋" w:hAnsi="仿宋" w:eastAsia="仿宋"/>
          <w:szCs w:val="21"/>
        </w:rPr>
        <w:t>（一）为有效计算风险权重，外部信用评级必须要全额考虑和反映债权的信用风险。如果资产公司的债权既包括本金又包括利息，那么评级就必须要考虑和反映与本金和利息及时偿还相关的信用风险。</w:t>
      </w:r>
    </w:p>
    <w:p>
      <w:pPr>
        <w:ind w:firstLine="640"/>
        <w:rPr>
          <w:rFonts w:hint="eastAsia" w:ascii="仿宋" w:hAnsi="仿宋" w:eastAsia="仿宋"/>
          <w:szCs w:val="21"/>
        </w:rPr>
      </w:pPr>
      <w:r>
        <w:rPr>
          <w:rFonts w:ascii="仿宋" w:hAnsi="仿宋" w:eastAsia="仿宋"/>
          <w:szCs w:val="21"/>
        </w:rPr>
        <w:t>（二）外部信用评级必须由经过国务院银行业监督管理机构认可的合格外部评级机构做出。合格的信用评级、流程、方法、假设和评级用关键要素应无选择地公之于众，并且完全免费。即信用评级必须以公众可以获取的方式发布，并且包括在外部评级机构的评级迁徙矩阵中。此外，损失和现金流分析，以及评级结果对主要评级假设变化的敏感性也应公开。仅对交易相关方提供信用评级是不能满足该要求的。</w:t>
      </w:r>
    </w:p>
    <w:p>
      <w:pPr>
        <w:ind w:firstLine="640"/>
        <w:rPr>
          <w:rFonts w:hint="eastAsia" w:ascii="仿宋" w:hAnsi="仿宋" w:eastAsia="仿宋"/>
          <w:szCs w:val="21"/>
        </w:rPr>
      </w:pPr>
      <w:r>
        <w:rPr>
          <w:rFonts w:ascii="仿宋" w:hAnsi="仿宋" w:eastAsia="仿宋"/>
          <w:szCs w:val="21"/>
        </w:rPr>
        <w:t>（三）合格的外部评级机构必须以市场接受程度高等来证明其在资产证券化方面具有专长。</w:t>
      </w:r>
    </w:p>
    <w:p>
      <w:pPr>
        <w:ind w:firstLine="640"/>
        <w:rPr>
          <w:rFonts w:hint="eastAsia" w:ascii="仿宋" w:hAnsi="仿宋" w:eastAsia="仿宋"/>
          <w:szCs w:val="21"/>
        </w:rPr>
      </w:pPr>
      <w:r>
        <w:rPr>
          <w:rFonts w:ascii="仿宋" w:hAnsi="仿宋" w:eastAsia="仿宋"/>
          <w:szCs w:val="21"/>
        </w:rPr>
        <w:t>（四）资产公司在使用合格外部信用评级机构的外部信用评级时，对于同一类型的资产证券化风险暴露应当保持连续性和一致性。针对同一资产证券化结构的所有档次，资产公司应使用同一家合格外部信用评级机构的外部信用评级结果。</w:t>
      </w:r>
    </w:p>
    <w:p>
      <w:pPr>
        <w:ind w:firstLine="640"/>
        <w:rPr>
          <w:rFonts w:hint="eastAsia" w:ascii="仿宋" w:hAnsi="仿宋" w:eastAsia="仿宋"/>
          <w:szCs w:val="21"/>
        </w:rPr>
      </w:pPr>
      <w:r>
        <w:rPr>
          <w:rFonts w:ascii="仿宋" w:hAnsi="仿宋" w:eastAsia="仿宋"/>
          <w:szCs w:val="21"/>
        </w:rPr>
        <w:t>（五）当信用风险缓释直接提供给特别目的机构时，如提供者当前外部信用评级在BBB-（含）以上，且在提供信用风险缓释时外部信用评级在A-（含）以上，并且该风险缓释反映在资产证券化风险暴露的外部信用评级中，则应使用与该外部信用评级相对应的风险权重。为避免重复计算，对于信用风险缓释不需持有额外资本。若信用风险缓释的提供者不满足以上要求，则该资产证券化风险暴露应作为未评级处理。</w:t>
      </w:r>
    </w:p>
    <w:p>
      <w:pPr>
        <w:ind w:firstLine="640"/>
        <w:rPr>
          <w:rFonts w:hint="eastAsia" w:ascii="仿宋" w:hAnsi="仿宋" w:eastAsia="仿宋"/>
          <w:szCs w:val="21"/>
        </w:rPr>
      </w:pPr>
      <w:r>
        <w:rPr>
          <w:rFonts w:ascii="仿宋" w:hAnsi="仿宋" w:eastAsia="仿宋"/>
          <w:szCs w:val="21"/>
        </w:rPr>
        <w:t>（六）如果特别目的机构未能得到信用风险缓释，而是在某个给定结构（如资产支持证券档次）中的特定资产证券化风险暴露中使用，资产公司应按照未评级来处理这些风险暴露，然后使用规定的信用风险缓释处理方法来确认相关风险的防范方式。</w:t>
      </w:r>
    </w:p>
    <w:p>
      <w:pPr>
        <w:ind w:firstLine="640"/>
        <w:rPr>
          <w:rFonts w:hint="eastAsia" w:ascii="仿宋" w:hAnsi="仿宋" w:eastAsia="仿宋"/>
          <w:szCs w:val="21"/>
        </w:rPr>
      </w:pPr>
      <w:r>
        <w:rPr>
          <w:rFonts w:ascii="仿宋" w:hAnsi="仿宋" w:eastAsia="仿宋"/>
          <w:szCs w:val="21"/>
        </w:rPr>
        <w:t>（七）同一资产证券化风险暴露具有两个不同的评级结果时，资产公司应当运用所对应的较高风险权重。同一资产证券化风险暴露具有三个或者三个以上的评级结果时，资产公司应从所对应的两个较低的风险权重中选用较高的风险权重。</w:t>
      </w:r>
    </w:p>
    <w:p>
      <w:pPr>
        <w:ind w:firstLine="420" w:firstLineChars="200"/>
        <w:rPr>
          <w:rFonts w:hint="eastAsia" w:ascii="仿宋" w:hAnsi="仿宋" w:eastAsia="仿宋"/>
          <w:szCs w:val="21"/>
        </w:rPr>
      </w:pPr>
      <w:r>
        <w:rPr>
          <w:rFonts w:ascii="仿宋" w:hAnsi="仿宋" w:eastAsia="仿宋"/>
          <w:szCs w:val="21"/>
        </w:rPr>
        <w:t>五、名词解释</w:t>
      </w:r>
    </w:p>
    <w:p>
      <w:pPr>
        <w:ind w:firstLine="420" w:firstLineChars="200"/>
        <w:rPr>
          <w:rFonts w:hint="eastAsia" w:ascii="仿宋" w:hAnsi="仿宋" w:eastAsia="仿宋"/>
          <w:szCs w:val="21"/>
        </w:rPr>
      </w:pPr>
      <w:r>
        <w:rPr>
          <w:rFonts w:ascii="仿宋" w:hAnsi="仿宋" w:eastAsia="仿宋"/>
          <w:szCs w:val="21"/>
        </w:rPr>
        <w:t>“传统型资产证券化”是指基础资产的信用风险通过资产转让、信托等方式全部或部分转移给投资者，基础资产的现金流用以支付至少两个不同信用风险档次的证券的资产证券化交易。</w:t>
      </w:r>
    </w:p>
    <w:p>
      <w:pPr>
        <w:ind w:firstLine="420" w:firstLineChars="200"/>
        <w:rPr>
          <w:rFonts w:hint="eastAsia" w:ascii="仿宋" w:hAnsi="仿宋" w:eastAsia="仿宋"/>
          <w:szCs w:val="21"/>
        </w:rPr>
      </w:pPr>
      <w:r>
        <w:rPr>
          <w:rFonts w:ascii="仿宋" w:hAnsi="仿宋" w:eastAsia="仿宋"/>
          <w:szCs w:val="21"/>
        </w:rPr>
        <w:t>“合成型资产证券化”是指基础资产的信用风险通过信用衍生工具或者保证全部或部分转移给投资者的资产证券化交易。该交易结构中至少具有两个不同信用风险档次的证券。信用衍生工具包括资金来源预置型和资金来源非预置型两种类型。</w:t>
      </w:r>
    </w:p>
    <w:p>
      <w:pPr>
        <w:ind w:firstLine="420" w:firstLineChars="200"/>
        <w:rPr>
          <w:rFonts w:hint="eastAsia" w:ascii="仿宋" w:hAnsi="仿宋" w:eastAsia="仿宋"/>
          <w:szCs w:val="21"/>
        </w:rPr>
      </w:pPr>
      <w:r>
        <w:rPr>
          <w:rFonts w:ascii="仿宋" w:hAnsi="仿宋" w:eastAsia="仿宋"/>
          <w:szCs w:val="21"/>
        </w:rPr>
        <w:t>“资金来源预置型信用衍生工具”是指在发生信用违约事件时，信用保护购买机构对于因获得信用保护而有权获取的资金或者资产，可以自行通过扣押、处置、转让等方式进行处理而获得赔偿。信用保护购买机构持有用于信用保护的抵质押资产或发行信用连接票据属于此种情形。</w:t>
      </w:r>
    </w:p>
    <w:p>
      <w:pPr>
        <w:ind w:firstLine="420" w:firstLineChars="200"/>
        <w:rPr>
          <w:rFonts w:hint="eastAsia" w:ascii="仿宋" w:hAnsi="仿宋" w:eastAsia="仿宋"/>
          <w:szCs w:val="21"/>
        </w:rPr>
      </w:pPr>
      <w:r>
        <w:rPr>
          <w:rFonts w:ascii="仿宋" w:hAnsi="仿宋" w:eastAsia="仿宋"/>
          <w:szCs w:val="21"/>
        </w:rPr>
        <w:t>“资金来源非预置型信用衍生工具”是指在发生信用违约事件时，信用保护购买机构只能依赖信用保护提供机构履行承诺而获得赔偿。保证和信用违约互换属于此种情形。</w:t>
      </w:r>
    </w:p>
    <w:p>
      <w:pPr>
        <w:ind w:firstLine="420" w:firstLineChars="200"/>
        <w:rPr>
          <w:rFonts w:hint="eastAsia" w:ascii="仿宋" w:hAnsi="仿宋" w:eastAsia="仿宋"/>
          <w:szCs w:val="21"/>
        </w:rPr>
      </w:pPr>
      <w:r>
        <w:rPr>
          <w:rFonts w:ascii="仿宋" w:hAnsi="仿宋" w:eastAsia="仿宋"/>
          <w:szCs w:val="21"/>
        </w:rPr>
        <w:t>“流动性便利”是指在基础资产的实际本息收取与资产支持证券的正常本息偿付暂时不匹配的情况下，由资产公司提供的一种短期融资，以确保投资者能按时、足额收取资产支持证券的本金和利息。</w:t>
      </w:r>
    </w:p>
    <w:p>
      <w:pPr>
        <w:ind w:firstLine="420" w:firstLineChars="200"/>
        <w:rPr>
          <w:rFonts w:hint="eastAsia" w:ascii="仿宋" w:hAnsi="仿宋" w:eastAsia="仿宋"/>
          <w:szCs w:val="21"/>
        </w:rPr>
      </w:pPr>
      <w:r>
        <w:rPr>
          <w:rFonts w:ascii="仿宋" w:hAnsi="仿宋" w:eastAsia="仿宋"/>
          <w:szCs w:val="21"/>
        </w:rPr>
        <w:t>“分档次抵补”是指对于某一风险暴露，资产公司向信用保护提供方转移一部分风险，同时保留一部分风险，而转移部分和保留部分处于不同优先档次的情形。在这种情况下，资产公司所获得的信用保护既可以是针对较高档次的，也可以是针对较低档次的。</w:t>
      </w:r>
    </w:p>
    <w:p>
      <w:pPr>
        <w:ind w:firstLine="420" w:firstLineChars="200"/>
        <w:rPr>
          <w:rFonts w:hint="eastAsia" w:ascii="仿宋" w:hAnsi="仿宋" w:eastAsia="仿宋"/>
          <w:szCs w:val="21"/>
        </w:rPr>
      </w:pPr>
      <w:r>
        <w:rPr>
          <w:rFonts w:ascii="仿宋" w:hAnsi="仿宋" w:eastAsia="仿宋"/>
          <w:szCs w:val="21"/>
        </w:rPr>
        <w:t>“现金抵押账户”是指资产证券化交易中的一种内部信用增级方式。现金抵押账户资金由发起机构提供或者来源于其他金融机构的贷款，用于弥补资产证券化业务活动中可能产生的损失。</w:t>
      </w:r>
    </w:p>
    <w:p>
      <w:pPr>
        <w:ind w:firstLine="420" w:firstLineChars="200"/>
        <w:rPr>
          <w:rFonts w:hint="eastAsia" w:ascii="仿宋" w:hAnsi="仿宋" w:eastAsia="仿宋"/>
          <w:szCs w:val="21"/>
        </w:rPr>
      </w:pPr>
      <w:r>
        <w:rPr>
          <w:rFonts w:ascii="仿宋" w:hAnsi="仿宋" w:eastAsia="仿宋"/>
          <w:szCs w:val="21"/>
        </w:rPr>
        <w:t>“利差账户”是指资产证券化交易中的一种内部信用增级方式。利差账户资金来源于资产利息收入和其他证券化交易收入减去资产支持证券利息支出和其他证券化交易费用之后所形成的超额利差，用于弥补资产证券化业务活动中可能产生的损失。</w:t>
      </w:r>
    </w:p>
    <w:p>
      <w:pPr>
        <w:ind w:firstLine="420" w:firstLineChars="200"/>
        <w:rPr>
          <w:rFonts w:hint="eastAsia" w:ascii="仿宋" w:hAnsi="仿宋" w:eastAsia="仿宋"/>
          <w:szCs w:val="21"/>
        </w:rPr>
      </w:pPr>
      <w:r>
        <w:rPr>
          <w:rFonts w:ascii="仿宋" w:hAnsi="仿宋" w:eastAsia="仿宋"/>
          <w:szCs w:val="21"/>
        </w:rPr>
        <w:t>“销售利得”是指资产公司作为发起机构在资产支持证券发行过程中取得溢价收入而导致的所有者权益的增加额。</w:t>
      </w:r>
    </w:p>
    <w:p>
      <w:pPr>
        <w:ind w:firstLine="420" w:firstLineChars="200"/>
        <w:rPr>
          <w:rFonts w:hint="eastAsia" w:ascii="仿宋" w:hAnsi="仿宋" w:eastAsia="仿宋"/>
          <w:szCs w:val="21"/>
        </w:rPr>
      </w:pPr>
      <w:r>
        <w:rPr>
          <w:rFonts w:ascii="仿宋" w:hAnsi="仿宋" w:eastAsia="仿宋"/>
          <w:szCs w:val="21"/>
        </w:rPr>
        <w:t>“第一损失责任”是指资产证券化交易参与机构最先承担的资产池损失责任，为该参与机构向资产证券化交易其他参与机构所提供的首要财务支持或者风险保护。</w:t>
      </w:r>
    </w:p>
    <w:p>
      <w:pPr>
        <w:ind w:firstLine="420" w:firstLineChars="200"/>
        <w:rPr>
          <w:rFonts w:hint="eastAsia" w:ascii="仿宋" w:hAnsi="仿宋" w:eastAsia="仿宋"/>
          <w:szCs w:val="21"/>
        </w:rPr>
      </w:pPr>
      <w:r>
        <w:rPr>
          <w:rFonts w:ascii="仿宋" w:hAnsi="仿宋" w:eastAsia="仿宋"/>
          <w:szCs w:val="21"/>
        </w:rPr>
        <w:t>“清仓回购”是指在资产池资产或者资产支持证券全部偿还之前，发起机构赎回资产证券化风险暴露的一种选择权。对于传统型资产证券化交易，清仓回购的通常做法是在资产池或者资产支持证券余额降至一定的水平之后，由发起机构赎回剩余的资产证券化风险暴露；对于合成型资产证券化交易，清仓回购通常是指提前终止信用保护。</w:t>
      </w:r>
    </w:p>
    <w:p>
      <w:pPr>
        <w:ind w:firstLine="420" w:firstLineChars="200"/>
        <w:rPr>
          <w:rFonts w:hint="eastAsia" w:ascii="仿宋" w:hAnsi="仿宋" w:eastAsia="仿宋"/>
          <w:szCs w:val="21"/>
        </w:rPr>
      </w:pPr>
      <w:r>
        <w:rPr>
          <w:rFonts w:ascii="仿宋" w:hAnsi="仿宋" w:eastAsia="仿宋"/>
          <w:szCs w:val="21"/>
        </w:rPr>
        <w:t>“再资产证券化”是指至少一项基础资产符合正文关于资产证券化风险暴露定义并具有分层结构的资产证券化风险暴露。对一个或多个再资产证券化的风险暴露属于再资产证券化。</w:t>
      </w:r>
    </w:p>
    <w:p>
      <w:pPr>
        <w:ind w:firstLine="420" w:firstLineChars="200"/>
        <w:rPr>
          <w:rFonts w:hint="eastAsia" w:ascii="仿宋" w:hAnsi="仿宋" w:eastAsia="仿宋"/>
          <w:szCs w:val="21"/>
        </w:rPr>
      </w:pPr>
      <w:r>
        <w:rPr>
          <w:rFonts w:ascii="仿宋" w:hAnsi="仿宋" w:eastAsia="仿宋"/>
          <w:szCs w:val="21"/>
        </w:rPr>
        <w:t>“服务机构现金透支便利”是指由贷款服务机构提供的一种短期垫款或者融资，包括但不限于垫付清收费用、抵押品相关费用以按时收回基础资产的本金和利息，从而使投资者能按时、足额收取资产支持证券的本金和利息。</w:t>
      </w:r>
    </w:p>
    <w:p>
      <w:pPr>
        <w:ind w:firstLine="420" w:firstLineChars="200"/>
        <w:rPr>
          <w:rFonts w:hint="eastAsia" w:ascii="仿宋" w:hAnsi="仿宋" w:eastAsia="仿宋"/>
          <w:szCs w:val="21"/>
        </w:rPr>
      </w:pPr>
      <w:r>
        <w:rPr>
          <w:rFonts w:ascii="仿宋" w:hAnsi="仿宋" w:eastAsia="仿宋"/>
          <w:szCs w:val="21"/>
        </w:rPr>
        <w:t>“提前摊还”是指在资产证券化相关法律文件中事先规定的机制被触发时，投资机构将在事先规定的资产支持证券到期日之前得到偿还。</w:t>
      </w:r>
    </w:p>
    <w:p>
      <w:pPr>
        <w:ind w:firstLine="420" w:firstLineChars="200"/>
        <w:rPr>
          <w:rFonts w:hint="eastAsia" w:ascii="仿宋" w:hAnsi="仿宋" w:eastAsia="仿宋"/>
          <w:szCs w:val="21"/>
        </w:rPr>
      </w:pPr>
      <w:r>
        <w:rPr>
          <w:rFonts w:ascii="仿宋" w:hAnsi="仿宋" w:eastAsia="仿宋"/>
          <w:szCs w:val="21"/>
        </w:rPr>
        <w:t>“控制型提前摊还”是指满足如下条件的提前摊还安排：</w:t>
      </w:r>
    </w:p>
    <w:p>
      <w:pPr>
        <w:ind w:firstLine="420" w:firstLineChars="200"/>
        <w:rPr>
          <w:rFonts w:hint="eastAsia" w:ascii="仿宋" w:hAnsi="仿宋" w:eastAsia="仿宋"/>
          <w:szCs w:val="21"/>
        </w:rPr>
      </w:pPr>
      <w:r>
        <w:rPr>
          <w:rFonts w:ascii="仿宋" w:hAnsi="仿宋" w:eastAsia="仿宋"/>
          <w:szCs w:val="21"/>
        </w:rPr>
        <w:t>发起机构具有恰当的资本或者流动性方案，以确保其在发生提前摊还时有足够的资本和流动性资金。</w:t>
      </w:r>
    </w:p>
    <w:p>
      <w:pPr>
        <w:ind w:firstLine="420" w:firstLineChars="200"/>
        <w:rPr>
          <w:rFonts w:hint="eastAsia" w:ascii="仿宋" w:hAnsi="仿宋" w:eastAsia="仿宋"/>
          <w:szCs w:val="21"/>
        </w:rPr>
      </w:pPr>
      <w:r>
        <w:rPr>
          <w:rFonts w:ascii="仿宋" w:hAnsi="仿宋" w:eastAsia="仿宋"/>
          <w:szCs w:val="21"/>
        </w:rPr>
        <w:t>在包括提前摊还期在内的证券化交易存续期内，发起机构与投资机构按照每月月初在证券化基础资产未偿余额中的相对份额所确定的同一比例，分摊利息、本金、费用、损失与回收金额。</w:t>
      </w:r>
    </w:p>
    <w:p>
      <w:pPr>
        <w:ind w:firstLine="420" w:firstLineChars="200"/>
        <w:rPr>
          <w:rFonts w:hint="eastAsia" w:ascii="仿宋" w:hAnsi="仿宋" w:eastAsia="仿宋"/>
          <w:szCs w:val="21"/>
        </w:rPr>
      </w:pPr>
      <w:r>
        <w:rPr>
          <w:rFonts w:ascii="仿宋" w:hAnsi="仿宋" w:eastAsia="仿宋"/>
          <w:szCs w:val="21"/>
        </w:rPr>
        <w:t>发起机构所设定的提前摊还期应当足以使基础资产至少90%的未偿债务在提前摊还结束时已经被偿还或者认定为违约。</w:t>
      </w:r>
    </w:p>
    <w:p>
      <w:pPr>
        <w:ind w:firstLine="420" w:firstLineChars="200"/>
        <w:rPr>
          <w:rFonts w:hint="eastAsia" w:ascii="仿宋" w:hAnsi="仿宋" w:eastAsia="仿宋"/>
          <w:szCs w:val="21"/>
        </w:rPr>
      </w:pPr>
      <w:r>
        <w:rPr>
          <w:rFonts w:ascii="仿宋" w:hAnsi="仿宋" w:eastAsia="仿宋"/>
          <w:szCs w:val="21"/>
        </w:rPr>
        <w:t>在提前摊还期内，偿还投资机构的速度不得快于直线摊销法下的还款速度。</w:t>
      </w:r>
    </w:p>
    <w:p>
      <w:pPr>
        <w:ind w:firstLine="420" w:firstLineChars="200"/>
        <w:rPr>
          <w:rFonts w:hint="eastAsia" w:ascii="仿宋" w:hAnsi="仿宋" w:eastAsia="仿宋"/>
          <w:szCs w:val="21"/>
        </w:rPr>
      </w:pPr>
      <w:r>
        <w:rPr>
          <w:rFonts w:ascii="仿宋" w:hAnsi="仿宋" w:eastAsia="仿宋"/>
          <w:szCs w:val="21"/>
        </w:rPr>
        <w:t>不满足上述条件的提前摊还安排为“非控制型提前摊还”。</w:t>
      </w:r>
    </w:p>
    <w:p>
      <w:pPr>
        <w:pStyle w:val="375"/>
        <w:rPr>
          <w:rFonts w:hint="eastAsia" w:ascii="仿宋" w:hAnsi="仿宋" w:eastAsia="仿宋"/>
          <w:kern w:val="2"/>
          <w:sz w:val="21"/>
          <w:szCs w:val="21"/>
          <w:lang w:val="en-US"/>
        </w:rPr>
      </w:pPr>
      <w:r>
        <w:rPr>
          <w:rFonts w:ascii="仿宋" w:hAnsi="仿宋" w:eastAsia="仿宋"/>
          <w:sz w:val="21"/>
          <w:szCs w:val="21"/>
        </w:rPr>
        <w:t>“非承诺信用额度”是指无需事先通知，即可无条件随时撤消的信用额度。</w:t>
      </w:r>
    </w:p>
    <w:p>
      <w:pPr>
        <w:rPr>
          <w:rFonts w:hint="eastAsia" w:ascii="仿宋" w:hAnsi="仿宋" w:eastAsia="仿宋"/>
          <w:b/>
          <w:szCs w:val="21"/>
        </w:rPr>
      </w:pPr>
      <w:r>
        <w:rPr>
          <w:rFonts w:ascii="仿宋" w:hAnsi="仿宋" w:eastAsia="仿宋"/>
        </w:rPr>
        <w:br w:type="page"/>
      </w:r>
      <w:r>
        <w:rPr>
          <w:rFonts w:ascii="仿宋" w:hAnsi="仿宋" w:eastAsia="仿宋"/>
          <w:b/>
          <w:szCs w:val="21"/>
        </w:rPr>
        <w:t>附件</w:t>
      </w:r>
      <w:r>
        <w:rPr>
          <w:rFonts w:hint="eastAsia" w:ascii="仿宋" w:hAnsi="仿宋" w:eastAsia="仿宋"/>
          <w:b/>
          <w:szCs w:val="21"/>
        </w:rPr>
        <w:t>3</w:t>
      </w:r>
    </w:p>
    <w:p>
      <w:pPr>
        <w:ind w:firstLine="422" w:firstLineChars="200"/>
        <w:rPr>
          <w:rFonts w:hint="eastAsia" w:ascii="仿宋" w:hAnsi="仿宋" w:eastAsia="仿宋"/>
          <w:b/>
          <w:szCs w:val="21"/>
        </w:rPr>
      </w:pPr>
    </w:p>
    <w:p>
      <w:pPr>
        <w:jc w:val="center"/>
        <w:rPr>
          <w:rFonts w:hint="eastAsia" w:ascii="仿宋" w:hAnsi="仿宋" w:eastAsia="仿宋"/>
          <w:bCs/>
          <w:szCs w:val="21"/>
        </w:rPr>
      </w:pPr>
      <w:r>
        <w:rPr>
          <w:rFonts w:ascii="仿宋" w:hAnsi="仿宋" w:eastAsia="仿宋"/>
          <w:bCs/>
          <w:szCs w:val="21"/>
        </w:rPr>
        <w:t>市场风险标准法计量规则</w:t>
      </w:r>
    </w:p>
    <w:p>
      <w:pPr>
        <w:ind w:firstLine="422" w:firstLineChars="200"/>
        <w:rPr>
          <w:rFonts w:hint="eastAsia" w:ascii="仿宋" w:hAnsi="仿宋" w:eastAsia="仿宋"/>
          <w:b/>
          <w:szCs w:val="21"/>
        </w:rPr>
      </w:pPr>
    </w:p>
    <w:p>
      <w:pPr>
        <w:ind w:firstLine="420" w:firstLineChars="200"/>
        <w:rPr>
          <w:rFonts w:hint="eastAsia" w:ascii="仿宋" w:hAnsi="仿宋" w:eastAsia="仿宋"/>
          <w:bCs/>
          <w:szCs w:val="21"/>
        </w:rPr>
      </w:pPr>
      <w:r>
        <w:rPr>
          <w:rFonts w:ascii="仿宋" w:hAnsi="仿宋" w:eastAsia="仿宋"/>
          <w:bCs/>
          <w:szCs w:val="21"/>
        </w:rPr>
        <w:t>一、</w:t>
      </w:r>
      <w:r>
        <w:rPr>
          <w:rFonts w:hint="eastAsia" w:ascii="仿宋" w:hAnsi="仿宋" w:eastAsia="仿宋"/>
          <w:bCs/>
          <w:szCs w:val="21"/>
        </w:rPr>
        <w:t>账簿</w:t>
      </w:r>
      <w:r>
        <w:rPr>
          <w:rFonts w:ascii="仿宋" w:hAnsi="仿宋" w:eastAsia="仿宋"/>
          <w:bCs/>
          <w:szCs w:val="21"/>
        </w:rPr>
        <w:t>划分</w:t>
      </w:r>
    </w:p>
    <w:p>
      <w:pPr>
        <w:ind w:firstLine="420" w:firstLineChars="200"/>
        <w:rPr>
          <w:rFonts w:hint="eastAsia" w:ascii="仿宋" w:hAnsi="仿宋" w:eastAsia="仿宋"/>
          <w:szCs w:val="21"/>
        </w:rPr>
      </w:pPr>
      <w:r>
        <w:rPr>
          <w:rFonts w:ascii="仿宋" w:hAnsi="仿宋" w:eastAsia="仿宋"/>
          <w:szCs w:val="21"/>
        </w:rPr>
        <w:t>（一）资产公司应制定清晰的交易</w:t>
      </w:r>
      <w:r>
        <w:rPr>
          <w:rFonts w:hint="eastAsia" w:ascii="仿宋" w:hAnsi="仿宋" w:eastAsia="仿宋"/>
          <w:szCs w:val="21"/>
        </w:rPr>
        <w:t>账簿</w:t>
      </w:r>
      <w:r>
        <w:rPr>
          <w:rFonts w:ascii="仿宋" w:hAnsi="仿宋" w:eastAsia="仿宋"/>
          <w:szCs w:val="21"/>
        </w:rPr>
        <w:t>和非交易</w:t>
      </w:r>
      <w:r>
        <w:rPr>
          <w:rFonts w:hint="eastAsia" w:ascii="仿宋" w:hAnsi="仿宋" w:eastAsia="仿宋"/>
          <w:szCs w:val="21"/>
        </w:rPr>
        <w:t>账簿</w:t>
      </w:r>
      <w:r>
        <w:rPr>
          <w:rFonts w:ascii="仿宋" w:hAnsi="仿宋" w:eastAsia="仿宋"/>
          <w:szCs w:val="21"/>
        </w:rPr>
        <w:t>划分标准，明确纳入交易</w:t>
      </w:r>
      <w:r>
        <w:rPr>
          <w:rFonts w:hint="eastAsia" w:ascii="仿宋" w:hAnsi="仿宋" w:eastAsia="仿宋"/>
          <w:szCs w:val="21"/>
        </w:rPr>
        <w:t>账簿</w:t>
      </w:r>
      <w:r>
        <w:rPr>
          <w:rFonts w:ascii="仿宋" w:hAnsi="仿宋" w:eastAsia="仿宋"/>
          <w:szCs w:val="21"/>
        </w:rPr>
        <w:t>的金融工具和商品头寸以及在交易</w:t>
      </w:r>
      <w:r>
        <w:rPr>
          <w:rFonts w:hint="eastAsia" w:ascii="仿宋" w:hAnsi="仿宋" w:eastAsia="仿宋"/>
          <w:szCs w:val="21"/>
        </w:rPr>
        <w:t>账簿</w:t>
      </w:r>
      <w:r>
        <w:rPr>
          <w:rFonts w:ascii="仿宋" w:hAnsi="仿宋" w:eastAsia="仿宋"/>
          <w:szCs w:val="21"/>
        </w:rPr>
        <w:t>和非交易</w:t>
      </w:r>
      <w:r>
        <w:rPr>
          <w:rFonts w:hint="eastAsia" w:ascii="仿宋" w:hAnsi="仿宋" w:eastAsia="仿宋"/>
          <w:szCs w:val="21"/>
        </w:rPr>
        <w:t>账簿</w:t>
      </w:r>
      <w:r>
        <w:rPr>
          <w:rFonts w:ascii="仿宋" w:hAnsi="仿宋" w:eastAsia="仿宋"/>
          <w:szCs w:val="21"/>
        </w:rPr>
        <w:t>间划转的条件，确保执行的一致性。</w:t>
      </w:r>
    </w:p>
    <w:p>
      <w:pPr>
        <w:ind w:firstLine="420" w:firstLineChars="200"/>
        <w:rPr>
          <w:rFonts w:hint="eastAsia" w:ascii="仿宋" w:hAnsi="仿宋" w:eastAsia="仿宋"/>
          <w:szCs w:val="21"/>
        </w:rPr>
      </w:pPr>
      <w:r>
        <w:rPr>
          <w:rFonts w:ascii="仿宋" w:hAnsi="仿宋" w:eastAsia="仿宋"/>
          <w:szCs w:val="21"/>
        </w:rPr>
        <w:t>（二）市场风险资本计量应覆盖资产公司交易</w:t>
      </w:r>
      <w:r>
        <w:rPr>
          <w:rFonts w:hint="eastAsia" w:ascii="仿宋" w:hAnsi="仿宋" w:eastAsia="仿宋"/>
          <w:szCs w:val="21"/>
        </w:rPr>
        <w:t>账簿</w:t>
      </w:r>
      <w:r>
        <w:rPr>
          <w:rFonts w:ascii="仿宋" w:hAnsi="仿宋" w:eastAsia="仿宋"/>
          <w:szCs w:val="21"/>
        </w:rPr>
        <w:t>中的利率风险和股票风险，以及全部汇率风险和商品风险。</w:t>
      </w:r>
    </w:p>
    <w:p>
      <w:pPr>
        <w:ind w:firstLine="420" w:firstLineChars="200"/>
        <w:rPr>
          <w:rFonts w:hint="eastAsia" w:ascii="仿宋" w:hAnsi="仿宋" w:eastAsia="仿宋"/>
          <w:szCs w:val="21"/>
        </w:rPr>
      </w:pPr>
      <w:r>
        <w:rPr>
          <w:rFonts w:ascii="仿宋" w:hAnsi="仿宋" w:eastAsia="仿宋"/>
          <w:szCs w:val="21"/>
        </w:rPr>
        <w:t>（三）交易</w:t>
      </w:r>
      <w:r>
        <w:rPr>
          <w:rFonts w:hint="eastAsia" w:ascii="仿宋" w:hAnsi="仿宋" w:eastAsia="仿宋"/>
          <w:szCs w:val="21"/>
        </w:rPr>
        <w:t>账簿</w:t>
      </w:r>
      <w:r>
        <w:rPr>
          <w:rFonts w:ascii="仿宋" w:hAnsi="仿宋" w:eastAsia="仿宋"/>
          <w:szCs w:val="21"/>
        </w:rPr>
        <w:t>包括为交易目的或对冲交易</w:t>
      </w:r>
      <w:r>
        <w:rPr>
          <w:rFonts w:hint="eastAsia" w:ascii="仿宋" w:hAnsi="仿宋" w:eastAsia="仿宋"/>
          <w:szCs w:val="21"/>
        </w:rPr>
        <w:t>账簿</w:t>
      </w:r>
      <w:r>
        <w:rPr>
          <w:rFonts w:ascii="仿宋" w:hAnsi="仿宋" w:eastAsia="仿宋"/>
          <w:szCs w:val="21"/>
        </w:rPr>
        <w:t>其它项目的风险而持有的金融工具和商品头寸。为交易目的而持有的头寸是指短期内有目的地持有以便出售，或从实际或预期的短期价格波动中获利，或锁定套利的头寸，包括自营业务、做市业务和为执行客户买卖委托的代客业务而持有的头寸。交易</w:t>
      </w:r>
      <w:r>
        <w:rPr>
          <w:rFonts w:hint="eastAsia" w:ascii="仿宋" w:hAnsi="仿宋" w:eastAsia="仿宋"/>
          <w:szCs w:val="21"/>
        </w:rPr>
        <w:t>账簿</w:t>
      </w:r>
      <w:r>
        <w:rPr>
          <w:rFonts w:ascii="仿宋" w:hAnsi="仿宋" w:eastAsia="仿宋"/>
          <w:szCs w:val="21"/>
        </w:rPr>
        <w:t>中的金融工具和商品头寸原则上还应满足以下条件：</w:t>
      </w:r>
    </w:p>
    <w:p>
      <w:pPr>
        <w:ind w:firstLine="420" w:firstLineChars="200"/>
        <w:rPr>
          <w:rFonts w:hint="eastAsia" w:ascii="仿宋" w:hAnsi="仿宋" w:eastAsia="仿宋"/>
          <w:szCs w:val="21"/>
        </w:rPr>
      </w:pPr>
      <w:r>
        <w:rPr>
          <w:rFonts w:ascii="仿宋" w:hAnsi="仿宋" w:eastAsia="仿宋"/>
          <w:szCs w:val="21"/>
        </w:rPr>
        <w:t>1.在交易方面不受任何限制，可以随时平盘。</w:t>
      </w:r>
    </w:p>
    <w:p>
      <w:pPr>
        <w:ind w:firstLine="420" w:firstLineChars="200"/>
        <w:rPr>
          <w:rFonts w:hint="eastAsia" w:ascii="仿宋" w:hAnsi="仿宋" w:eastAsia="仿宋"/>
          <w:szCs w:val="21"/>
        </w:rPr>
      </w:pPr>
      <w:r>
        <w:rPr>
          <w:rFonts w:ascii="仿宋" w:hAnsi="仿宋" w:eastAsia="仿宋"/>
          <w:szCs w:val="21"/>
        </w:rPr>
        <w:t>2.能够完全对冲以规避风险。</w:t>
      </w:r>
    </w:p>
    <w:p>
      <w:pPr>
        <w:ind w:firstLine="420" w:firstLineChars="200"/>
        <w:rPr>
          <w:rFonts w:hint="eastAsia" w:ascii="仿宋" w:hAnsi="仿宋" w:eastAsia="仿宋"/>
          <w:szCs w:val="21"/>
        </w:rPr>
      </w:pPr>
      <w:r>
        <w:rPr>
          <w:rFonts w:ascii="仿宋" w:hAnsi="仿宋" w:eastAsia="仿宋"/>
          <w:szCs w:val="21"/>
        </w:rPr>
        <w:t>3.能够准确估值。</w:t>
      </w:r>
    </w:p>
    <w:p>
      <w:pPr>
        <w:ind w:firstLine="420" w:firstLineChars="200"/>
        <w:rPr>
          <w:rFonts w:hint="eastAsia" w:ascii="仿宋" w:hAnsi="仿宋" w:eastAsia="仿宋"/>
          <w:bCs/>
          <w:szCs w:val="21"/>
        </w:rPr>
      </w:pPr>
      <w:r>
        <w:rPr>
          <w:rFonts w:ascii="仿宋" w:hAnsi="仿宋" w:eastAsia="仿宋"/>
          <w:szCs w:val="21"/>
        </w:rPr>
        <w:t>4.能够进行积极的管理。</w:t>
      </w:r>
    </w:p>
    <w:p>
      <w:pPr>
        <w:ind w:firstLine="420" w:firstLineChars="200"/>
        <w:rPr>
          <w:rFonts w:hint="eastAsia" w:ascii="仿宋" w:hAnsi="仿宋" w:eastAsia="仿宋"/>
          <w:bCs/>
          <w:szCs w:val="21"/>
        </w:rPr>
      </w:pPr>
      <w:r>
        <w:rPr>
          <w:rFonts w:ascii="仿宋" w:hAnsi="仿宋" w:eastAsia="仿宋"/>
          <w:bCs/>
          <w:szCs w:val="21"/>
        </w:rPr>
        <w:t>二、利率风险</w:t>
      </w:r>
    </w:p>
    <w:p>
      <w:pPr>
        <w:ind w:firstLine="420" w:firstLineChars="200"/>
        <w:rPr>
          <w:rFonts w:hint="eastAsia" w:ascii="仿宋" w:hAnsi="仿宋" w:eastAsia="仿宋"/>
          <w:b/>
          <w:szCs w:val="21"/>
        </w:rPr>
      </w:pPr>
      <w:r>
        <w:rPr>
          <w:rFonts w:ascii="仿宋" w:hAnsi="仿宋" w:eastAsia="仿宋"/>
          <w:szCs w:val="21"/>
        </w:rPr>
        <w:t>利率风险包括交易</w:t>
      </w:r>
      <w:r>
        <w:rPr>
          <w:rFonts w:hint="eastAsia" w:ascii="仿宋" w:hAnsi="仿宋" w:eastAsia="仿宋"/>
          <w:szCs w:val="21"/>
        </w:rPr>
        <w:t>账簿</w:t>
      </w:r>
      <w:r>
        <w:rPr>
          <w:rFonts w:ascii="仿宋" w:hAnsi="仿宋" w:eastAsia="仿宋"/>
          <w:szCs w:val="21"/>
        </w:rPr>
        <w:t>中的债券（固定利率和浮动利率债券、央行票据、可转让存单、不可转换优先股及按照债券交易规则进行交易的可转换债券）、利率及债券衍生工具头寸的风险。利率风险的资本要求包括特定市场风险和一般市场风险的资本要求两部分。</w:t>
      </w:r>
    </w:p>
    <w:p>
      <w:pPr>
        <w:rPr>
          <w:rFonts w:hint="eastAsia" w:ascii="仿宋" w:hAnsi="仿宋" w:eastAsia="仿宋"/>
          <w:bCs/>
          <w:szCs w:val="21"/>
        </w:rPr>
      </w:pPr>
      <w:r>
        <w:rPr>
          <w:rFonts w:ascii="仿宋" w:hAnsi="仿宋" w:eastAsia="仿宋"/>
          <w:b/>
          <w:szCs w:val="21"/>
        </w:rPr>
        <w:t xml:space="preserve">    </w:t>
      </w:r>
      <w:r>
        <w:rPr>
          <w:rFonts w:ascii="仿宋" w:hAnsi="仿宋" w:eastAsia="仿宋"/>
          <w:bCs/>
          <w:szCs w:val="21"/>
        </w:rPr>
        <w:t>（一）特定市场风险</w:t>
      </w:r>
    </w:p>
    <w:p>
      <w:pPr>
        <w:jc w:val="center"/>
        <w:rPr>
          <w:rFonts w:hint="eastAsia" w:ascii="仿宋" w:hAnsi="仿宋" w:eastAsia="仿宋"/>
          <w:bCs/>
          <w:szCs w:val="21"/>
        </w:rPr>
      </w:pPr>
    </w:p>
    <w:p>
      <w:pPr>
        <w:jc w:val="center"/>
        <w:rPr>
          <w:rFonts w:hint="eastAsia" w:ascii="仿宋" w:hAnsi="仿宋" w:eastAsia="仿宋"/>
          <w:b/>
          <w:szCs w:val="21"/>
        </w:rPr>
      </w:pPr>
      <w:r>
        <w:rPr>
          <w:rFonts w:ascii="仿宋" w:hAnsi="仿宋" w:eastAsia="仿宋"/>
          <w:bCs/>
          <w:szCs w:val="21"/>
        </w:rPr>
        <w:t>表1：特定市场风险计提比率对应表</w:t>
      </w:r>
    </w:p>
    <w:tbl>
      <w:tblPr>
        <w:tblStyle w:val="42"/>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4"/>
        <w:gridCol w:w="2700"/>
        <w:gridCol w:w="4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tblHeader/>
          <w:jc w:val="center"/>
        </w:trPr>
        <w:tc>
          <w:tcPr>
            <w:tcW w:w="1716" w:type="dxa"/>
            <w:vAlign w:val="center"/>
          </w:tcPr>
          <w:p>
            <w:pPr>
              <w:ind w:firstLine="420" w:firstLineChars="200"/>
              <w:rPr>
                <w:rFonts w:hint="eastAsia" w:ascii="仿宋" w:hAnsi="仿宋" w:eastAsia="仿宋"/>
                <w:bCs/>
                <w:color w:val="000000"/>
                <w:szCs w:val="21"/>
              </w:rPr>
            </w:pPr>
            <w:r>
              <w:rPr>
                <w:rFonts w:hint="eastAsia" w:ascii="仿宋" w:hAnsi="仿宋" w:eastAsia="仿宋"/>
                <w:bCs/>
                <w:color w:val="000000"/>
                <w:szCs w:val="21"/>
              </w:rPr>
              <w:t>类别</w:t>
            </w:r>
          </w:p>
        </w:tc>
        <w:tc>
          <w:tcPr>
            <w:tcW w:w="2694" w:type="dxa"/>
            <w:vAlign w:val="center"/>
          </w:tcPr>
          <w:p>
            <w:pPr>
              <w:jc w:val="center"/>
              <w:rPr>
                <w:rFonts w:hint="eastAsia" w:ascii="仿宋" w:hAnsi="仿宋" w:eastAsia="仿宋"/>
                <w:bCs/>
                <w:color w:val="000000"/>
                <w:szCs w:val="21"/>
              </w:rPr>
            </w:pPr>
            <w:r>
              <w:rPr>
                <w:rFonts w:hint="eastAsia" w:ascii="仿宋" w:hAnsi="仿宋" w:eastAsia="仿宋"/>
                <w:bCs/>
                <w:color w:val="000000"/>
                <w:szCs w:val="21"/>
              </w:rPr>
              <w:t>发行主体外部评级</w:t>
            </w:r>
          </w:p>
        </w:tc>
        <w:tc>
          <w:tcPr>
            <w:tcW w:w="4670" w:type="dxa"/>
            <w:vAlign w:val="center"/>
          </w:tcPr>
          <w:p>
            <w:pPr>
              <w:jc w:val="center"/>
              <w:rPr>
                <w:rFonts w:hint="eastAsia" w:ascii="仿宋" w:hAnsi="仿宋" w:eastAsia="仿宋"/>
                <w:bCs/>
                <w:color w:val="000000"/>
                <w:szCs w:val="21"/>
              </w:rPr>
            </w:pPr>
            <w:r>
              <w:rPr>
                <w:rFonts w:hint="eastAsia" w:ascii="仿宋" w:hAnsi="仿宋" w:eastAsia="仿宋"/>
                <w:bCs/>
                <w:color w:val="000000"/>
                <w:szCs w:val="21"/>
              </w:rPr>
              <w:t>特定市场风险资本计提比率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16" w:type="dxa"/>
            <w:vMerge w:val="restart"/>
            <w:vAlign w:val="center"/>
          </w:tcPr>
          <w:p>
            <w:pPr>
              <w:jc w:val="center"/>
              <w:rPr>
                <w:rFonts w:hint="eastAsia" w:ascii="仿宋" w:hAnsi="仿宋" w:eastAsia="仿宋"/>
                <w:color w:val="000000"/>
                <w:szCs w:val="21"/>
              </w:rPr>
            </w:pPr>
            <w:r>
              <w:rPr>
                <w:rFonts w:hint="eastAsia" w:ascii="仿宋" w:hAnsi="仿宋" w:eastAsia="仿宋"/>
                <w:color w:val="000000"/>
                <w:szCs w:val="21"/>
              </w:rPr>
              <w:t>政府证券</w:t>
            </w:r>
          </w:p>
        </w:tc>
        <w:tc>
          <w:tcPr>
            <w:tcW w:w="2694" w:type="dxa"/>
            <w:vAlign w:val="center"/>
          </w:tcPr>
          <w:p>
            <w:pPr>
              <w:jc w:val="center"/>
              <w:rPr>
                <w:rFonts w:hint="eastAsia" w:ascii="仿宋" w:hAnsi="仿宋" w:eastAsia="仿宋"/>
                <w:color w:val="000000"/>
                <w:szCs w:val="21"/>
              </w:rPr>
            </w:pPr>
            <w:r>
              <w:rPr>
                <w:rFonts w:hint="eastAsia" w:ascii="仿宋" w:hAnsi="仿宋" w:eastAsia="仿宋"/>
                <w:color w:val="000000"/>
                <w:szCs w:val="21"/>
              </w:rPr>
              <w:t>AA-以上（含AA-）</w:t>
            </w:r>
          </w:p>
        </w:tc>
        <w:tc>
          <w:tcPr>
            <w:tcW w:w="4670" w:type="dxa"/>
            <w:vAlign w:val="center"/>
          </w:tcPr>
          <w:p>
            <w:pPr>
              <w:jc w:val="center"/>
              <w:rPr>
                <w:rFonts w:hint="eastAsia" w:ascii="仿宋" w:hAnsi="仿宋" w:eastAsia="仿宋"/>
                <w:color w:val="000000"/>
                <w:szCs w:val="21"/>
              </w:rPr>
            </w:pPr>
            <w:r>
              <w:rPr>
                <w:rFonts w:hint="eastAsia" w:ascii="仿宋" w:hAnsi="仿宋" w:eastAsia="仿宋"/>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694" w:type="dxa"/>
            <w:vMerge w:val="restart"/>
            <w:vAlign w:val="center"/>
          </w:tcPr>
          <w:p>
            <w:pPr>
              <w:jc w:val="center"/>
              <w:rPr>
                <w:rFonts w:hint="eastAsia" w:ascii="仿宋" w:hAnsi="仿宋" w:eastAsia="仿宋"/>
                <w:color w:val="000000"/>
                <w:szCs w:val="21"/>
              </w:rPr>
            </w:pPr>
            <w:r>
              <w:rPr>
                <w:rFonts w:hint="eastAsia" w:ascii="仿宋" w:hAnsi="仿宋" w:eastAsia="仿宋"/>
                <w:color w:val="000000"/>
                <w:szCs w:val="21"/>
              </w:rPr>
              <w:t>A+ 至 BBB-</w:t>
            </w:r>
          </w:p>
          <w:p>
            <w:pPr>
              <w:jc w:val="center"/>
              <w:rPr>
                <w:rFonts w:hint="eastAsia" w:ascii="仿宋" w:hAnsi="仿宋" w:eastAsia="仿宋"/>
                <w:color w:val="000000"/>
                <w:szCs w:val="21"/>
              </w:rPr>
            </w:pPr>
            <w:r>
              <w:rPr>
                <w:rFonts w:hint="eastAsia" w:ascii="仿宋" w:hAnsi="仿宋" w:eastAsia="仿宋"/>
                <w:color w:val="000000"/>
                <w:szCs w:val="21"/>
              </w:rPr>
              <w:t>（含BBB-）</w:t>
            </w:r>
          </w:p>
        </w:tc>
        <w:tc>
          <w:tcPr>
            <w:tcW w:w="4670" w:type="dxa"/>
            <w:vAlign w:val="center"/>
          </w:tcPr>
          <w:p>
            <w:pPr>
              <w:jc w:val="center"/>
              <w:rPr>
                <w:rFonts w:hint="eastAsia" w:ascii="仿宋" w:hAnsi="仿宋" w:eastAsia="仿宋"/>
                <w:color w:val="000000"/>
                <w:szCs w:val="21"/>
              </w:rPr>
            </w:pPr>
            <w:r>
              <w:rPr>
                <w:rFonts w:hint="eastAsia" w:ascii="仿宋" w:hAnsi="仿宋" w:eastAsia="仿宋"/>
                <w:color w:val="000000"/>
                <w:szCs w:val="21"/>
              </w:rPr>
              <w:t>0.4% (剩余期限不超过6个月)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694" w:type="dxa"/>
            <w:vMerge w:val="continue"/>
            <w:vAlign w:val="center"/>
          </w:tcPr>
          <w:p>
            <w:pPr>
              <w:ind w:firstLine="420" w:firstLineChars="200"/>
              <w:jc w:val="center"/>
              <w:rPr>
                <w:rFonts w:hint="eastAsia" w:ascii="仿宋" w:hAnsi="仿宋" w:eastAsia="仿宋"/>
                <w:color w:val="000000"/>
                <w:szCs w:val="21"/>
              </w:rPr>
            </w:pPr>
          </w:p>
        </w:tc>
        <w:tc>
          <w:tcPr>
            <w:tcW w:w="4670" w:type="dxa"/>
            <w:vAlign w:val="center"/>
          </w:tcPr>
          <w:p>
            <w:pPr>
              <w:jc w:val="center"/>
              <w:rPr>
                <w:rFonts w:hint="eastAsia" w:ascii="仿宋" w:hAnsi="仿宋" w:eastAsia="仿宋"/>
                <w:color w:val="000000"/>
                <w:szCs w:val="21"/>
              </w:rPr>
            </w:pPr>
            <w:r>
              <w:rPr>
                <w:rFonts w:hint="eastAsia" w:ascii="仿宋" w:hAnsi="仿宋" w:eastAsia="仿宋"/>
                <w:color w:val="000000"/>
                <w:szCs w:val="21"/>
              </w:rPr>
              <w:t>1.6% (剩余期限为6至24个月)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694" w:type="dxa"/>
            <w:vMerge w:val="continue"/>
            <w:vAlign w:val="center"/>
          </w:tcPr>
          <w:p>
            <w:pPr>
              <w:ind w:firstLine="420" w:firstLineChars="200"/>
              <w:jc w:val="center"/>
              <w:rPr>
                <w:rFonts w:hint="eastAsia" w:ascii="仿宋" w:hAnsi="仿宋" w:eastAsia="仿宋"/>
                <w:color w:val="000000"/>
                <w:szCs w:val="21"/>
              </w:rPr>
            </w:pPr>
          </w:p>
        </w:tc>
        <w:tc>
          <w:tcPr>
            <w:tcW w:w="4670" w:type="dxa"/>
            <w:vAlign w:val="center"/>
          </w:tcPr>
          <w:p>
            <w:pPr>
              <w:jc w:val="center"/>
              <w:rPr>
                <w:rFonts w:hint="eastAsia" w:ascii="仿宋" w:hAnsi="仿宋" w:eastAsia="仿宋"/>
                <w:color w:val="000000"/>
                <w:szCs w:val="21"/>
              </w:rPr>
            </w:pPr>
            <w:r>
              <w:rPr>
                <w:rFonts w:hint="eastAsia" w:ascii="仿宋" w:hAnsi="仿宋" w:eastAsia="仿宋"/>
                <w:color w:val="000000"/>
                <w:szCs w:val="21"/>
              </w:rPr>
              <w:t>2.5% (剩余期限为24个月以上)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694" w:type="dxa"/>
            <w:vAlign w:val="center"/>
          </w:tcPr>
          <w:p>
            <w:pPr>
              <w:jc w:val="center"/>
              <w:rPr>
                <w:rFonts w:hint="eastAsia" w:ascii="仿宋" w:hAnsi="仿宋" w:eastAsia="仿宋"/>
                <w:color w:val="000000"/>
                <w:szCs w:val="21"/>
              </w:rPr>
            </w:pPr>
            <w:r>
              <w:rPr>
                <w:rFonts w:hint="eastAsia" w:ascii="仿宋" w:hAnsi="仿宋" w:eastAsia="仿宋"/>
                <w:color w:val="000000"/>
                <w:szCs w:val="21"/>
              </w:rPr>
              <w:t>BB+ 至 B-（含B-）</w:t>
            </w:r>
          </w:p>
        </w:tc>
        <w:tc>
          <w:tcPr>
            <w:tcW w:w="4670" w:type="dxa"/>
            <w:vAlign w:val="center"/>
          </w:tcPr>
          <w:p>
            <w:pPr>
              <w:jc w:val="center"/>
              <w:rPr>
                <w:rFonts w:hint="eastAsia" w:ascii="仿宋" w:hAnsi="仿宋" w:eastAsia="仿宋"/>
                <w:color w:val="000000"/>
                <w:szCs w:val="21"/>
              </w:rPr>
            </w:pPr>
            <w:r>
              <w:rPr>
                <w:rFonts w:hint="eastAsia" w:ascii="仿宋" w:hAnsi="仿宋" w:eastAsia="仿宋"/>
                <w:color w:val="000000"/>
                <w:szCs w:val="21"/>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694" w:type="dxa"/>
            <w:vAlign w:val="center"/>
          </w:tcPr>
          <w:p>
            <w:pPr>
              <w:jc w:val="center"/>
              <w:rPr>
                <w:rFonts w:hint="eastAsia" w:ascii="仿宋" w:hAnsi="仿宋" w:eastAsia="仿宋"/>
                <w:color w:val="000000"/>
                <w:szCs w:val="21"/>
              </w:rPr>
            </w:pPr>
            <w:r>
              <w:rPr>
                <w:rFonts w:hint="eastAsia" w:ascii="仿宋" w:hAnsi="仿宋" w:eastAsia="仿宋"/>
                <w:color w:val="000000"/>
                <w:szCs w:val="21"/>
              </w:rPr>
              <w:t>B-以下</w:t>
            </w:r>
          </w:p>
        </w:tc>
        <w:tc>
          <w:tcPr>
            <w:tcW w:w="4670" w:type="dxa"/>
            <w:vAlign w:val="center"/>
          </w:tcPr>
          <w:p>
            <w:pPr>
              <w:jc w:val="center"/>
              <w:rPr>
                <w:rFonts w:hint="eastAsia" w:ascii="仿宋" w:hAnsi="仿宋" w:eastAsia="仿宋"/>
                <w:color w:val="000000"/>
                <w:szCs w:val="21"/>
              </w:rPr>
            </w:pPr>
            <w:r>
              <w:rPr>
                <w:rFonts w:hint="eastAsia" w:ascii="仿宋" w:hAnsi="仿宋" w:eastAsia="仿宋"/>
                <w:color w:val="000000"/>
                <w:szCs w:val="21"/>
              </w:rPr>
              <w:t>18.75%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694" w:type="dxa"/>
            <w:vAlign w:val="center"/>
          </w:tcPr>
          <w:p>
            <w:pPr>
              <w:jc w:val="center"/>
              <w:rPr>
                <w:rFonts w:hint="eastAsia" w:ascii="仿宋" w:hAnsi="仿宋" w:eastAsia="仿宋"/>
                <w:color w:val="000000"/>
                <w:szCs w:val="21"/>
              </w:rPr>
            </w:pPr>
            <w:r>
              <w:rPr>
                <w:rFonts w:hint="eastAsia" w:ascii="仿宋" w:hAnsi="仿宋" w:eastAsia="仿宋"/>
                <w:color w:val="000000"/>
                <w:szCs w:val="21"/>
              </w:rPr>
              <w:t>未评级</w:t>
            </w:r>
          </w:p>
        </w:tc>
        <w:tc>
          <w:tcPr>
            <w:tcW w:w="4670" w:type="dxa"/>
            <w:vAlign w:val="center"/>
          </w:tcPr>
          <w:p>
            <w:pPr>
              <w:jc w:val="center"/>
              <w:rPr>
                <w:rFonts w:hint="eastAsia" w:ascii="仿宋" w:hAnsi="仿宋" w:eastAsia="仿宋"/>
                <w:color w:val="000000"/>
                <w:szCs w:val="21"/>
              </w:rPr>
            </w:pPr>
            <w:r>
              <w:rPr>
                <w:rFonts w:hint="eastAsia" w:ascii="仿宋" w:hAnsi="仿宋" w:eastAsia="仿宋"/>
                <w:color w:val="000000"/>
                <w:szCs w:val="21"/>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716" w:type="dxa"/>
            <w:vMerge w:val="restart"/>
            <w:vAlign w:val="center"/>
          </w:tcPr>
          <w:p>
            <w:pPr>
              <w:jc w:val="center"/>
              <w:rPr>
                <w:rFonts w:hint="eastAsia" w:ascii="仿宋" w:hAnsi="仿宋" w:eastAsia="仿宋"/>
                <w:color w:val="000000"/>
                <w:szCs w:val="21"/>
              </w:rPr>
            </w:pPr>
            <w:r>
              <w:rPr>
                <w:rFonts w:hint="eastAsia" w:ascii="仿宋" w:hAnsi="仿宋" w:eastAsia="仿宋"/>
                <w:color w:val="000000"/>
                <w:szCs w:val="21"/>
              </w:rPr>
              <w:t>合格证券</w:t>
            </w:r>
          </w:p>
        </w:tc>
        <w:tc>
          <w:tcPr>
            <w:tcW w:w="2702" w:type="dxa"/>
            <w:vMerge w:val="restart"/>
            <w:vAlign w:val="center"/>
          </w:tcPr>
          <w:p>
            <w:pPr>
              <w:jc w:val="center"/>
              <w:rPr>
                <w:rFonts w:hint="eastAsia" w:ascii="仿宋" w:hAnsi="仿宋" w:eastAsia="仿宋"/>
                <w:color w:val="000000"/>
                <w:szCs w:val="21"/>
              </w:rPr>
            </w:pPr>
            <w:r>
              <w:rPr>
                <w:rFonts w:hint="eastAsia" w:ascii="仿宋" w:hAnsi="仿宋" w:eastAsia="仿宋"/>
                <w:color w:val="000000"/>
                <w:szCs w:val="21"/>
              </w:rPr>
              <w:t>BB+以上（不含BB+）</w:t>
            </w:r>
          </w:p>
        </w:tc>
        <w:tc>
          <w:tcPr>
            <w:tcW w:w="4662" w:type="dxa"/>
            <w:vAlign w:val="center"/>
          </w:tcPr>
          <w:p>
            <w:pPr>
              <w:jc w:val="center"/>
              <w:rPr>
                <w:rFonts w:hint="eastAsia" w:ascii="仿宋" w:hAnsi="仿宋" w:eastAsia="仿宋"/>
                <w:color w:val="000000"/>
                <w:szCs w:val="21"/>
              </w:rPr>
            </w:pPr>
            <w:r>
              <w:rPr>
                <w:rFonts w:hint="eastAsia" w:ascii="仿宋" w:hAnsi="仿宋" w:eastAsia="仿宋"/>
                <w:color w:val="000000"/>
                <w:szCs w:val="21"/>
              </w:rPr>
              <w:t>0.4% (剩余期限不超过6个月)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702" w:type="dxa"/>
            <w:vMerge w:val="continue"/>
            <w:vAlign w:val="center"/>
          </w:tcPr>
          <w:p>
            <w:pPr>
              <w:ind w:firstLine="420" w:firstLineChars="200"/>
              <w:jc w:val="center"/>
              <w:rPr>
                <w:rFonts w:hint="eastAsia" w:ascii="仿宋" w:hAnsi="仿宋" w:eastAsia="仿宋"/>
                <w:color w:val="000000"/>
                <w:szCs w:val="21"/>
              </w:rPr>
            </w:pPr>
          </w:p>
        </w:tc>
        <w:tc>
          <w:tcPr>
            <w:tcW w:w="4662" w:type="dxa"/>
            <w:vAlign w:val="center"/>
          </w:tcPr>
          <w:p>
            <w:pPr>
              <w:jc w:val="center"/>
              <w:rPr>
                <w:rFonts w:hint="eastAsia" w:ascii="仿宋" w:hAnsi="仿宋" w:eastAsia="仿宋"/>
                <w:color w:val="000000"/>
                <w:szCs w:val="21"/>
              </w:rPr>
            </w:pPr>
            <w:r>
              <w:rPr>
                <w:rFonts w:hint="eastAsia" w:ascii="仿宋" w:hAnsi="仿宋" w:eastAsia="仿宋"/>
                <w:color w:val="000000"/>
                <w:szCs w:val="21"/>
              </w:rPr>
              <w:t>1.6% (剩余期限为6至24个月)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716" w:type="dxa"/>
            <w:vMerge w:val="continue"/>
            <w:vAlign w:val="center"/>
          </w:tcPr>
          <w:p>
            <w:pPr>
              <w:ind w:firstLine="420" w:firstLineChars="200"/>
              <w:jc w:val="center"/>
              <w:rPr>
                <w:rFonts w:hint="eastAsia" w:ascii="仿宋" w:hAnsi="仿宋" w:eastAsia="仿宋"/>
                <w:color w:val="000000"/>
                <w:szCs w:val="21"/>
              </w:rPr>
            </w:pPr>
          </w:p>
        </w:tc>
        <w:tc>
          <w:tcPr>
            <w:tcW w:w="2702" w:type="dxa"/>
            <w:vMerge w:val="continue"/>
            <w:vAlign w:val="center"/>
          </w:tcPr>
          <w:p>
            <w:pPr>
              <w:ind w:firstLine="420" w:firstLineChars="200"/>
              <w:jc w:val="center"/>
              <w:rPr>
                <w:rFonts w:hint="eastAsia" w:ascii="仿宋" w:hAnsi="仿宋" w:eastAsia="仿宋"/>
                <w:color w:val="000000"/>
                <w:szCs w:val="21"/>
              </w:rPr>
            </w:pPr>
          </w:p>
        </w:tc>
        <w:tc>
          <w:tcPr>
            <w:tcW w:w="4662" w:type="dxa"/>
            <w:vAlign w:val="center"/>
          </w:tcPr>
          <w:p>
            <w:pPr>
              <w:jc w:val="center"/>
              <w:rPr>
                <w:rFonts w:hint="eastAsia" w:ascii="仿宋" w:hAnsi="仿宋" w:eastAsia="仿宋"/>
                <w:color w:val="000000"/>
                <w:szCs w:val="21"/>
              </w:rPr>
            </w:pPr>
            <w:r>
              <w:rPr>
                <w:rFonts w:hint="eastAsia" w:ascii="仿宋" w:hAnsi="仿宋" w:eastAsia="仿宋"/>
                <w:color w:val="000000"/>
                <w:szCs w:val="21"/>
              </w:rPr>
              <w:t>2.5% (剩余期限为24个月以上)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716" w:type="dxa"/>
            <w:vAlign w:val="center"/>
          </w:tcPr>
          <w:p>
            <w:pPr>
              <w:jc w:val="center"/>
              <w:rPr>
                <w:rFonts w:hint="eastAsia" w:ascii="仿宋" w:hAnsi="仿宋" w:eastAsia="仿宋"/>
                <w:color w:val="000000"/>
                <w:szCs w:val="21"/>
              </w:rPr>
            </w:pPr>
            <w:r>
              <w:rPr>
                <w:rFonts w:hint="eastAsia" w:ascii="仿宋" w:hAnsi="仿宋" w:eastAsia="仿宋"/>
                <w:color w:val="000000"/>
                <w:szCs w:val="21"/>
              </w:rPr>
              <w:t>其它</w:t>
            </w:r>
          </w:p>
        </w:tc>
        <w:tc>
          <w:tcPr>
            <w:tcW w:w="7364" w:type="dxa"/>
            <w:gridSpan w:val="2"/>
            <w:vAlign w:val="center"/>
          </w:tcPr>
          <w:p>
            <w:pPr>
              <w:rPr>
                <w:rFonts w:hint="eastAsia" w:ascii="仿宋" w:hAnsi="仿宋" w:eastAsia="仿宋"/>
                <w:color w:val="000000"/>
                <w:szCs w:val="21"/>
              </w:rPr>
            </w:pPr>
            <w:r>
              <w:rPr>
                <w:rFonts w:hint="eastAsia" w:ascii="仿宋" w:hAnsi="仿宋" w:eastAsia="仿宋"/>
                <w:color w:val="000000"/>
                <w:szCs w:val="21"/>
              </w:rPr>
              <w:t>外部评级为BB+以下（含BB+）的证券以及未评级证券的资本计提比率为证券主体所适用的信用风险权重除以8，风险权重参见本办法附件1。</w:t>
            </w:r>
          </w:p>
        </w:tc>
      </w:tr>
    </w:tbl>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r>
        <w:rPr>
          <w:rFonts w:ascii="仿宋" w:hAnsi="仿宋" w:eastAsia="仿宋"/>
          <w:szCs w:val="21"/>
        </w:rPr>
        <w:t>1．政府证券包含各国中央政府和中央银行发行的各类债券和短期融资工具。</w:t>
      </w:r>
    </w:p>
    <w:p>
      <w:pPr>
        <w:ind w:firstLine="420" w:firstLineChars="200"/>
        <w:rPr>
          <w:rFonts w:hint="eastAsia" w:ascii="仿宋" w:hAnsi="仿宋" w:eastAsia="仿宋"/>
          <w:szCs w:val="21"/>
        </w:rPr>
      </w:pPr>
      <w:r>
        <w:rPr>
          <w:rFonts w:ascii="仿宋" w:hAnsi="仿宋" w:eastAsia="仿宋"/>
          <w:szCs w:val="21"/>
        </w:rPr>
        <w:t>我国中央政府、中国人民银行及政策性银行发行的债券的资本计提比率均为0%。</w:t>
      </w:r>
    </w:p>
    <w:p>
      <w:pPr>
        <w:ind w:firstLine="420" w:firstLineChars="200"/>
        <w:rPr>
          <w:rFonts w:hint="eastAsia" w:ascii="仿宋" w:hAnsi="仿宋" w:eastAsia="仿宋"/>
          <w:szCs w:val="21"/>
        </w:rPr>
      </w:pPr>
      <w:r>
        <w:rPr>
          <w:rFonts w:ascii="仿宋" w:hAnsi="仿宋" w:eastAsia="仿宋"/>
          <w:szCs w:val="21"/>
        </w:rPr>
        <w:t>2．合格证券包括：</w:t>
      </w:r>
    </w:p>
    <w:p>
      <w:pPr>
        <w:ind w:firstLine="420" w:firstLineChars="200"/>
        <w:rPr>
          <w:rFonts w:hint="eastAsia" w:ascii="仿宋" w:hAnsi="仿宋" w:eastAsia="仿宋"/>
          <w:szCs w:val="21"/>
        </w:rPr>
      </w:pPr>
      <w:r>
        <w:rPr>
          <w:rFonts w:ascii="仿宋" w:hAnsi="仿宋" w:eastAsia="仿宋"/>
          <w:szCs w:val="21"/>
        </w:rPr>
        <w:t>（1）多边开发银行、国际清算银行和国际货币基金组织发行的债券。</w:t>
      </w:r>
    </w:p>
    <w:p>
      <w:pPr>
        <w:ind w:firstLine="420" w:firstLineChars="200"/>
        <w:rPr>
          <w:rFonts w:hint="eastAsia" w:ascii="仿宋" w:hAnsi="仿宋" w:eastAsia="仿宋"/>
          <w:szCs w:val="21"/>
        </w:rPr>
      </w:pPr>
      <w:r>
        <w:rPr>
          <w:rFonts w:ascii="仿宋" w:hAnsi="仿宋" w:eastAsia="仿宋"/>
          <w:szCs w:val="21"/>
        </w:rPr>
        <w:t>（2）我国公共部门实体和商业银行发行的债券。</w:t>
      </w:r>
    </w:p>
    <w:p>
      <w:pPr>
        <w:ind w:firstLine="420" w:firstLineChars="200"/>
        <w:rPr>
          <w:rFonts w:hint="eastAsia" w:ascii="仿宋" w:hAnsi="仿宋" w:eastAsia="仿宋"/>
          <w:szCs w:val="21"/>
        </w:rPr>
      </w:pPr>
      <w:r>
        <w:rPr>
          <w:rFonts w:ascii="仿宋" w:hAnsi="仿宋" w:eastAsia="仿宋"/>
          <w:szCs w:val="21"/>
        </w:rPr>
        <w:t>（3）被至少两家合格外部评级机构评为投资级别（BB+以上）的发行主体发行的债券。</w:t>
      </w:r>
    </w:p>
    <w:p>
      <w:pPr>
        <w:ind w:firstLine="420" w:firstLineChars="200"/>
        <w:rPr>
          <w:rFonts w:hint="eastAsia" w:ascii="仿宋" w:hAnsi="仿宋" w:eastAsia="仿宋"/>
          <w:szCs w:val="21"/>
        </w:rPr>
      </w:pPr>
      <w:r>
        <w:rPr>
          <w:rFonts w:ascii="仿宋" w:hAnsi="仿宋" w:eastAsia="仿宋"/>
          <w:szCs w:val="21"/>
        </w:rPr>
        <w:t>3．对于其他发行主体发行的债券，其资本计提比率为证券发行主体所对应的信用风险权重除以8，具体风险权重根据本办法附件</w:t>
      </w:r>
      <w:r>
        <w:rPr>
          <w:rFonts w:hint="eastAsia" w:ascii="仿宋" w:hAnsi="仿宋" w:eastAsia="仿宋"/>
          <w:szCs w:val="21"/>
        </w:rPr>
        <w:t>1</w:t>
      </w:r>
      <w:r>
        <w:rPr>
          <w:rFonts w:ascii="仿宋" w:hAnsi="仿宋" w:eastAsia="仿宋"/>
          <w:szCs w:val="21"/>
        </w:rPr>
        <w:t>确定。</w:t>
      </w:r>
    </w:p>
    <w:p>
      <w:pPr>
        <w:ind w:firstLine="420" w:firstLineChars="200"/>
        <w:rPr>
          <w:rFonts w:hint="eastAsia" w:ascii="仿宋" w:hAnsi="仿宋" w:eastAsia="仿宋"/>
          <w:szCs w:val="21"/>
        </w:rPr>
      </w:pPr>
      <w:r>
        <w:rPr>
          <w:rFonts w:ascii="仿宋" w:hAnsi="仿宋" w:eastAsia="仿宋"/>
          <w:szCs w:val="21"/>
        </w:rPr>
        <w:t>资产证券化风险暴露的风险权重根据本办法附件</w:t>
      </w:r>
      <w:r>
        <w:rPr>
          <w:rFonts w:hint="eastAsia" w:ascii="仿宋" w:hAnsi="仿宋" w:eastAsia="仿宋"/>
          <w:szCs w:val="21"/>
        </w:rPr>
        <w:t>2</w:t>
      </w:r>
      <w:r>
        <w:rPr>
          <w:rFonts w:ascii="仿宋" w:hAnsi="仿宋" w:eastAsia="仿宋"/>
          <w:szCs w:val="21"/>
        </w:rPr>
        <w:t>确定。</w:t>
      </w:r>
    </w:p>
    <w:p>
      <w:pPr>
        <w:ind w:firstLine="420" w:firstLineChars="200"/>
        <w:rPr>
          <w:rFonts w:hint="eastAsia" w:ascii="仿宋" w:hAnsi="仿宋" w:eastAsia="仿宋"/>
          <w:bCs/>
          <w:szCs w:val="21"/>
        </w:rPr>
      </w:pPr>
      <w:r>
        <w:rPr>
          <w:rFonts w:ascii="仿宋" w:hAnsi="仿宋" w:eastAsia="仿宋"/>
          <w:bCs/>
          <w:szCs w:val="21"/>
        </w:rPr>
        <w:t>（二）一般市场风险</w:t>
      </w:r>
    </w:p>
    <w:p>
      <w:pPr>
        <w:ind w:firstLine="420" w:firstLineChars="200"/>
        <w:rPr>
          <w:rFonts w:hint="eastAsia" w:ascii="仿宋" w:hAnsi="仿宋" w:eastAsia="仿宋"/>
          <w:szCs w:val="21"/>
        </w:rPr>
      </w:pPr>
      <w:r>
        <w:rPr>
          <w:rFonts w:ascii="仿宋" w:hAnsi="仿宋" w:eastAsia="仿宋"/>
          <w:szCs w:val="21"/>
        </w:rPr>
        <w:t>1．一般市场风险的资本要求包含以下三部分：</w:t>
      </w:r>
    </w:p>
    <w:p>
      <w:pPr>
        <w:autoSpaceDE w:val="0"/>
        <w:autoSpaceDN w:val="0"/>
        <w:ind w:firstLine="420" w:firstLineChars="200"/>
        <w:rPr>
          <w:rFonts w:hint="eastAsia" w:ascii="仿宋" w:hAnsi="仿宋" w:eastAsia="仿宋"/>
          <w:szCs w:val="21"/>
        </w:rPr>
      </w:pPr>
      <w:r>
        <w:rPr>
          <w:rFonts w:ascii="仿宋" w:hAnsi="仿宋" w:eastAsia="仿宋"/>
          <w:szCs w:val="21"/>
        </w:rPr>
        <w:t>（1）每时段内加权多头和空头头寸可相互对冲的部分所对应的垂直资本要求。</w:t>
      </w:r>
    </w:p>
    <w:p>
      <w:pPr>
        <w:ind w:firstLine="420" w:firstLineChars="200"/>
        <w:rPr>
          <w:rFonts w:hint="eastAsia" w:ascii="仿宋" w:hAnsi="仿宋" w:eastAsia="仿宋"/>
          <w:szCs w:val="21"/>
        </w:rPr>
      </w:pPr>
      <w:r>
        <w:rPr>
          <w:rFonts w:ascii="仿宋" w:hAnsi="仿宋" w:eastAsia="仿宋"/>
          <w:szCs w:val="21"/>
        </w:rPr>
        <w:t>（2）不同时段间加权多头和空头头寸可相互对冲的部分所对应的横向资本要求。</w:t>
      </w:r>
    </w:p>
    <w:p>
      <w:pPr>
        <w:ind w:firstLine="420" w:firstLineChars="200"/>
        <w:rPr>
          <w:rFonts w:hint="eastAsia" w:ascii="仿宋" w:hAnsi="仿宋" w:eastAsia="仿宋"/>
          <w:szCs w:val="21"/>
        </w:rPr>
      </w:pPr>
      <w:r>
        <w:rPr>
          <w:rFonts w:ascii="仿宋" w:hAnsi="仿宋" w:eastAsia="仿宋"/>
          <w:szCs w:val="21"/>
        </w:rPr>
        <w:t>（3）整个交易</w:t>
      </w:r>
      <w:r>
        <w:rPr>
          <w:rFonts w:hint="eastAsia" w:ascii="仿宋" w:hAnsi="仿宋" w:eastAsia="仿宋"/>
          <w:szCs w:val="21"/>
        </w:rPr>
        <w:t>账簿</w:t>
      </w:r>
      <w:r>
        <w:rPr>
          <w:rFonts w:ascii="仿宋" w:hAnsi="仿宋" w:eastAsia="仿宋"/>
          <w:szCs w:val="21"/>
        </w:rPr>
        <w:t>的加权净多头或净空头头寸所对应的资本要求。</w:t>
      </w:r>
    </w:p>
    <w:p>
      <w:pPr>
        <w:ind w:firstLine="420" w:firstLineChars="200"/>
        <w:rPr>
          <w:rFonts w:hint="eastAsia" w:ascii="仿宋" w:hAnsi="仿宋" w:eastAsia="仿宋"/>
          <w:szCs w:val="21"/>
        </w:rPr>
      </w:pPr>
      <w:r>
        <w:rPr>
          <w:rFonts w:ascii="仿宋" w:hAnsi="仿宋" w:eastAsia="仿宋"/>
          <w:szCs w:val="21"/>
        </w:rPr>
        <w:t>2．资产公司可以采用到期日法或久期法计算利率风险的一般市场风险资本要求。</w:t>
      </w:r>
    </w:p>
    <w:p>
      <w:pPr>
        <w:ind w:firstLine="420" w:firstLineChars="200"/>
        <w:rPr>
          <w:rFonts w:hint="eastAsia" w:ascii="仿宋" w:hAnsi="仿宋" w:eastAsia="仿宋"/>
          <w:szCs w:val="21"/>
        </w:rPr>
      </w:pPr>
      <w:r>
        <w:rPr>
          <w:rFonts w:ascii="仿宋" w:hAnsi="仿宋" w:eastAsia="仿宋"/>
          <w:szCs w:val="21"/>
        </w:rPr>
        <w:t>3．资产公司采用到期日法计算一般市场风险资本要求，应先对各头寸划分时区和时段，时段的划分和匹配的风险权重见表2，时区的划分和匹配的风险权重见表3。到期日法具体计算步骤如下：</w:t>
      </w:r>
    </w:p>
    <w:p>
      <w:pPr>
        <w:ind w:firstLine="420" w:firstLineChars="200"/>
        <w:rPr>
          <w:rFonts w:hint="eastAsia" w:ascii="仿宋" w:hAnsi="仿宋" w:eastAsia="仿宋"/>
          <w:szCs w:val="21"/>
        </w:rPr>
      </w:pPr>
      <w:r>
        <w:rPr>
          <w:rFonts w:ascii="仿宋" w:hAnsi="仿宋" w:eastAsia="仿宋"/>
          <w:szCs w:val="21"/>
        </w:rPr>
        <w:t>（1）各时段的头寸乘以相应的风险权重计算各时段的加权头寸。</w:t>
      </w:r>
    </w:p>
    <w:p>
      <w:pPr>
        <w:ind w:firstLine="420" w:firstLineChars="200"/>
        <w:rPr>
          <w:rFonts w:hint="eastAsia" w:ascii="仿宋" w:hAnsi="仿宋" w:eastAsia="仿宋"/>
          <w:szCs w:val="21"/>
        </w:rPr>
      </w:pPr>
      <w:r>
        <w:rPr>
          <w:rFonts w:ascii="仿宋" w:hAnsi="仿宋" w:eastAsia="仿宋"/>
          <w:szCs w:val="21"/>
        </w:rPr>
        <w:t>（2）各时段的加权多头、空头头寸可相互对冲的部分乘以10</w:t>
      </w:r>
      <w:r>
        <w:rPr>
          <w:rFonts w:hint="eastAsia" w:ascii="仿宋" w:hAnsi="仿宋" w:eastAsia="仿宋"/>
          <w:szCs w:val="21"/>
        </w:rPr>
        <w:t>%</w:t>
      </w:r>
      <w:r>
        <w:rPr>
          <w:rFonts w:ascii="仿宋" w:hAnsi="仿宋" w:eastAsia="仿宋"/>
          <w:szCs w:val="21"/>
        </w:rPr>
        <w:t>得出垂直资本要求。</w:t>
      </w:r>
    </w:p>
    <w:p>
      <w:pPr>
        <w:ind w:firstLine="420" w:firstLineChars="200"/>
        <w:rPr>
          <w:rFonts w:hint="eastAsia" w:ascii="仿宋" w:hAnsi="仿宋" w:eastAsia="仿宋"/>
          <w:szCs w:val="21"/>
        </w:rPr>
      </w:pPr>
      <w:r>
        <w:rPr>
          <w:rFonts w:ascii="仿宋" w:hAnsi="仿宋" w:eastAsia="仿宋"/>
          <w:szCs w:val="21"/>
        </w:rPr>
        <w:t>（3）各时段的加权多头头寸和加权空头头寸进行抵消得出各个时段的加权头寸净额；将在各时区内各时段的加权头寸净额之间的可相互对冲的部分乘以表3所列的同一区内的权重得出各个时区内的横向资本要求。</w:t>
      </w:r>
    </w:p>
    <w:p>
      <w:pPr>
        <w:ind w:firstLine="420" w:firstLineChars="200"/>
        <w:rPr>
          <w:rFonts w:hint="eastAsia" w:ascii="仿宋" w:hAnsi="仿宋" w:eastAsia="仿宋"/>
          <w:szCs w:val="21"/>
        </w:rPr>
      </w:pPr>
      <w:r>
        <w:rPr>
          <w:rFonts w:ascii="仿宋" w:hAnsi="仿宋" w:eastAsia="仿宋"/>
          <w:szCs w:val="21"/>
        </w:rPr>
        <w:t>（4）各时区内各时段的加权头寸净额进行抵消，得出各时区加权头寸净额；每两个时区加权头寸净额之间可相互对冲的部分乘以表3所列的相邻区内以及1区和3区之间的权重得出时区间的横向资本要求。</w:t>
      </w:r>
    </w:p>
    <w:p>
      <w:pPr>
        <w:ind w:firstLine="420" w:firstLineChars="200"/>
        <w:rPr>
          <w:rFonts w:hint="eastAsia" w:ascii="仿宋" w:hAnsi="仿宋" w:eastAsia="仿宋"/>
          <w:szCs w:val="21"/>
        </w:rPr>
      </w:pPr>
      <w:r>
        <w:rPr>
          <w:rFonts w:ascii="仿宋" w:hAnsi="仿宋" w:eastAsia="仿宋"/>
          <w:szCs w:val="21"/>
        </w:rPr>
        <w:t>（5）各时区加权头寸净额进行抵消，得出整个交易</w:t>
      </w:r>
      <w:r>
        <w:rPr>
          <w:rFonts w:hint="eastAsia" w:ascii="仿宋" w:hAnsi="仿宋" w:eastAsia="仿宋"/>
          <w:szCs w:val="21"/>
        </w:rPr>
        <w:t>账簿</w:t>
      </w:r>
      <w:r>
        <w:rPr>
          <w:rFonts w:ascii="仿宋" w:hAnsi="仿宋" w:eastAsia="仿宋"/>
          <w:szCs w:val="21"/>
        </w:rPr>
        <w:t>的加权净多头或净空头头寸所对应的资本要求。</w:t>
      </w:r>
    </w:p>
    <w:p>
      <w:pPr>
        <w:ind w:firstLine="420" w:firstLineChars="200"/>
        <w:rPr>
          <w:rFonts w:hint="eastAsia" w:ascii="仿宋" w:hAnsi="仿宋" w:eastAsia="仿宋"/>
          <w:szCs w:val="21"/>
        </w:rPr>
      </w:pPr>
    </w:p>
    <w:p>
      <w:pPr>
        <w:tabs>
          <w:tab w:val="left" w:pos="5280"/>
        </w:tabs>
        <w:jc w:val="center"/>
        <w:rPr>
          <w:rFonts w:hint="eastAsia" w:ascii="仿宋" w:hAnsi="仿宋" w:eastAsia="仿宋"/>
          <w:szCs w:val="21"/>
        </w:rPr>
      </w:pPr>
      <w:r>
        <w:rPr>
          <w:rFonts w:ascii="仿宋" w:hAnsi="仿宋" w:eastAsia="仿宋"/>
          <w:bCs/>
          <w:szCs w:val="21"/>
        </w:rPr>
        <w:t>表2：时段和权重</w:t>
      </w:r>
    </w:p>
    <w:tbl>
      <w:tblPr>
        <w:tblStyle w:val="42"/>
        <w:tblW w:w="9044"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21"/>
        <w:gridCol w:w="2681"/>
        <w:gridCol w:w="1431"/>
        <w:gridCol w:w="211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blHeade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Cs/>
                <w:szCs w:val="21"/>
              </w:rPr>
            </w:pPr>
            <w:r>
              <w:rPr>
                <w:rFonts w:hint="eastAsia" w:ascii="仿宋" w:hAnsi="仿宋" w:eastAsia="仿宋"/>
                <w:bCs/>
                <w:szCs w:val="21"/>
              </w:rPr>
              <w:t>票面利率不小于3％</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Cs/>
                <w:szCs w:val="21"/>
              </w:rPr>
            </w:pPr>
            <w:r>
              <w:rPr>
                <w:rFonts w:hint="eastAsia" w:ascii="仿宋" w:hAnsi="仿宋" w:eastAsia="仿宋"/>
                <w:bCs/>
                <w:szCs w:val="21"/>
              </w:rPr>
              <w:t>票面利率小于3％</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Cs/>
                <w:szCs w:val="21"/>
              </w:rPr>
            </w:pPr>
            <w:r>
              <w:rPr>
                <w:rFonts w:hint="eastAsia" w:ascii="仿宋" w:hAnsi="仿宋" w:eastAsia="仿宋"/>
                <w:bCs/>
                <w:szCs w:val="21"/>
              </w:rPr>
              <w:t>风险权重</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Cs/>
                <w:szCs w:val="21"/>
              </w:rPr>
            </w:pPr>
            <w:r>
              <w:rPr>
                <w:rFonts w:hint="eastAsia" w:ascii="仿宋" w:hAnsi="仿宋" w:eastAsia="仿宋"/>
                <w:bCs/>
                <w:szCs w:val="21"/>
              </w:rPr>
              <w:t>假定收益率变化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不长于1个月</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不长于1个月</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0.00％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1至3个月</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1至3个月</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0.20％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3至6个月</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3至6个月</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0.40％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6至12个月</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6至12个月</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0.70％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1至2年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1.0至1.9年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1.25％</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0.90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2至3年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1.9至2.8年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1.75％</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0.80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3至4年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2.8至3.6年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2.25％</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0.75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4至5年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3.6至4.3年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2.75％</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0.75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5至7年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4.3至5.7年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3.25％</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0.70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7至10年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5.7至7.3年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3.75％</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0.65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10至15年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7.3至9.3年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4.50％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0.60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15至20年</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9.3至10.6年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5.25％</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0.60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20年以上</w:t>
            </w: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10.6至12年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6.00％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0.60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12至20年</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8.00％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0.60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2821" w:type="dxa"/>
            <w:tcBorders>
              <w:top w:val="single" w:color="auto" w:sz="4" w:space="0"/>
              <w:left w:val="single" w:color="auto" w:sz="4" w:space="0"/>
              <w:bottom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68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20年以上</w:t>
            </w:r>
          </w:p>
        </w:tc>
        <w:tc>
          <w:tcPr>
            <w:tcW w:w="143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12.50％</w:t>
            </w:r>
          </w:p>
        </w:tc>
        <w:tc>
          <w:tcPr>
            <w:tcW w:w="211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0.60</w:t>
            </w:r>
          </w:p>
        </w:tc>
      </w:tr>
    </w:tbl>
    <w:p>
      <w:pPr>
        <w:jc w:val="center"/>
        <w:rPr>
          <w:rFonts w:hint="eastAsia" w:ascii="仿宋" w:hAnsi="仿宋" w:eastAsia="仿宋"/>
          <w:bCs/>
          <w:szCs w:val="21"/>
        </w:rPr>
      </w:pPr>
    </w:p>
    <w:p>
      <w:pPr>
        <w:jc w:val="center"/>
        <w:rPr>
          <w:rFonts w:hint="eastAsia" w:ascii="仿宋" w:hAnsi="仿宋" w:eastAsia="仿宋"/>
          <w:bCs/>
          <w:szCs w:val="21"/>
        </w:rPr>
      </w:pPr>
      <w:r>
        <w:rPr>
          <w:rFonts w:ascii="仿宋" w:hAnsi="仿宋" w:eastAsia="仿宋"/>
          <w:bCs/>
          <w:szCs w:val="21"/>
        </w:rPr>
        <w:t>表3：时区和权重</w:t>
      </w:r>
    </w:p>
    <w:tbl>
      <w:tblPr>
        <w:tblStyle w:val="42"/>
        <w:tblW w:w="9088"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89"/>
        <w:gridCol w:w="2236"/>
        <w:gridCol w:w="1686"/>
        <w:gridCol w:w="1859"/>
        <w:gridCol w:w="221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blHeader/>
          <w:jc w:val="center"/>
        </w:trPr>
        <w:tc>
          <w:tcPr>
            <w:tcW w:w="108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宋体"/>
                <w:bCs/>
                <w:szCs w:val="21"/>
              </w:rPr>
            </w:pPr>
            <w:r>
              <w:rPr>
                <w:rFonts w:hint="eastAsia" w:ascii="仿宋" w:hAnsi="仿宋" w:eastAsia="仿宋" w:cs="宋体"/>
                <w:bCs/>
                <w:szCs w:val="21"/>
              </w:rPr>
              <w:t>时 区</w:t>
            </w: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宋体"/>
                <w:bCs/>
                <w:szCs w:val="21"/>
              </w:rPr>
            </w:pPr>
            <w:r>
              <w:rPr>
                <w:rFonts w:hint="eastAsia" w:ascii="仿宋" w:hAnsi="仿宋" w:eastAsia="仿宋" w:cs="宋体"/>
                <w:bCs/>
                <w:szCs w:val="21"/>
              </w:rPr>
              <w:t>时   段</w:t>
            </w:r>
          </w:p>
        </w:tc>
        <w:tc>
          <w:tcPr>
            <w:tcW w:w="168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宋体"/>
                <w:bCs/>
                <w:szCs w:val="21"/>
              </w:rPr>
            </w:pPr>
            <w:r>
              <w:rPr>
                <w:rFonts w:hint="eastAsia" w:ascii="仿宋" w:hAnsi="仿宋" w:eastAsia="仿宋" w:cs="宋体"/>
                <w:bCs/>
                <w:szCs w:val="21"/>
              </w:rPr>
              <w:t>同一区内</w:t>
            </w:r>
          </w:p>
        </w:tc>
        <w:tc>
          <w:tcPr>
            <w:tcW w:w="185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宋体"/>
                <w:bCs/>
                <w:szCs w:val="21"/>
              </w:rPr>
            </w:pPr>
            <w:r>
              <w:rPr>
                <w:rFonts w:hint="eastAsia" w:ascii="仿宋" w:hAnsi="仿宋" w:eastAsia="仿宋" w:cs="宋体"/>
                <w:bCs/>
                <w:szCs w:val="21"/>
              </w:rPr>
              <w:t>相邻区之间</w:t>
            </w:r>
          </w:p>
        </w:tc>
        <w:tc>
          <w:tcPr>
            <w:tcW w:w="221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宋体"/>
                <w:bCs/>
                <w:szCs w:val="21"/>
              </w:rPr>
            </w:pPr>
            <w:r>
              <w:rPr>
                <w:rFonts w:hint="eastAsia" w:ascii="仿宋" w:hAnsi="仿宋" w:eastAsia="仿宋"/>
                <w:bCs/>
                <w:szCs w:val="21"/>
              </w:rPr>
              <w:t>1区和3</w:t>
            </w:r>
            <w:r>
              <w:rPr>
                <w:rFonts w:hint="eastAsia" w:ascii="仿宋" w:hAnsi="仿宋" w:eastAsia="仿宋" w:cs="宋体"/>
                <w:bCs/>
                <w:szCs w:val="21"/>
              </w:rPr>
              <w:t>区之间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szCs w:val="21"/>
              </w:rPr>
            </w:pPr>
            <w:r>
              <w:rPr>
                <w:rFonts w:hint="eastAsia" w:ascii="仿宋" w:hAnsi="仿宋" w:eastAsia="仿宋"/>
                <w:szCs w:val="21"/>
              </w:rPr>
              <w:t>1区</w:t>
            </w: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0-1个月</w:t>
            </w:r>
          </w:p>
        </w:tc>
        <w:tc>
          <w:tcPr>
            <w:tcW w:w="1686"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szCs w:val="21"/>
              </w:rPr>
            </w:pPr>
            <w:r>
              <w:rPr>
                <w:rFonts w:hint="eastAsia" w:ascii="仿宋" w:hAnsi="仿宋" w:eastAsia="仿宋"/>
                <w:szCs w:val="21"/>
              </w:rPr>
              <w:t>40％</w:t>
            </w:r>
          </w:p>
        </w:tc>
        <w:tc>
          <w:tcPr>
            <w:tcW w:w="1859"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40％</w:t>
            </w:r>
          </w:p>
        </w:tc>
        <w:tc>
          <w:tcPr>
            <w:tcW w:w="2218"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top w:val="single" w:color="auto" w:sz="4" w:space="0"/>
              <w:left w:val="single" w:color="auto" w:sz="4" w:space="0"/>
              <w:bottom w:val="single" w:color="auto" w:sz="4" w:space="0"/>
              <w:right w:val="single" w:color="auto" w:sz="4" w:space="0"/>
            </w:tcBorders>
            <w:vAlign w:val="center"/>
          </w:tcPr>
          <w:p>
            <w:pPr>
              <w:ind w:firstLine="422" w:firstLineChars="200"/>
              <w:jc w:val="center"/>
              <w:rPr>
                <w:rFonts w:hint="eastAsia" w:ascii="仿宋" w:hAnsi="仿宋" w:eastAsia="仿宋"/>
                <w:b/>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1至3个月</w:t>
            </w:r>
          </w:p>
        </w:tc>
        <w:tc>
          <w:tcPr>
            <w:tcW w:w="1686" w:type="dxa"/>
            <w:vMerge w:val="continue"/>
            <w:tcBorders>
              <w:top w:val="single" w:color="auto" w:sz="4" w:space="0"/>
              <w:left w:val="single" w:color="auto" w:sz="4" w:space="0"/>
              <w:bottom w:val="single" w:color="auto" w:sz="4" w:space="0"/>
              <w:right w:val="single" w:color="auto" w:sz="4" w:space="0"/>
            </w:tcBorders>
            <w:vAlign w:val="center"/>
          </w:tcPr>
          <w:p>
            <w:pPr>
              <w:ind w:firstLine="422" w:firstLineChars="200"/>
              <w:jc w:val="center"/>
              <w:rPr>
                <w:rFonts w:hint="eastAsia" w:ascii="仿宋" w:hAnsi="仿宋" w:eastAsia="仿宋"/>
                <w:b/>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top w:val="single" w:color="auto" w:sz="4" w:space="0"/>
              <w:left w:val="single" w:color="auto" w:sz="4" w:space="0"/>
              <w:bottom w:val="single" w:color="auto" w:sz="4" w:space="0"/>
              <w:right w:val="single" w:color="auto" w:sz="4" w:space="0"/>
            </w:tcBorders>
            <w:vAlign w:val="center"/>
          </w:tcPr>
          <w:p>
            <w:pPr>
              <w:ind w:firstLine="422" w:firstLineChars="200"/>
              <w:jc w:val="center"/>
              <w:rPr>
                <w:rFonts w:hint="eastAsia" w:ascii="仿宋" w:hAnsi="仿宋" w:eastAsia="仿宋"/>
                <w:b/>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3至6个月</w:t>
            </w:r>
          </w:p>
        </w:tc>
        <w:tc>
          <w:tcPr>
            <w:tcW w:w="1686" w:type="dxa"/>
            <w:vMerge w:val="continue"/>
            <w:tcBorders>
              <w:top w:val="single" w:color="auto" w:sz="4" w:space="0"/>
              <w:left w:val="single" w:color="auto" w:sz="4" w:space="0"/>
              <w:bottom w:val="single" w:color="auto" w:sz="4" w:space="0"/>
              <w:right w:val="single" w:color="auto" w:sz="4" w:space="0"/>
            </w:tcBorders>
            <w:vAlign w:val="center"/>
          </w:tcPr>
          <w:p>
            <w:pPr>
              <w:ind w:firstLine="422" w:firstLineChars="200"/>
              <w:jc w:val="center"/>
              <w:rPr>
                <w:rFonts w:hint="eastAsia" w:ascii="仿宋" w:hAnsi="仿宋" w:eastAsia="仿宋"/>
                <w:b/>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top w:val="single" w:color="auto" w:sz="4" w:space="0"/>
              <w:left w:val="single" w:color="auto" w:sz="4" w:space="0"/>
              <w:bottom w:val="single" w:color="auto" w:sz="4" w:space="0"/>
              <w:right w:val="single" w:color="auto" w:sz="4" w:space="0"/>
            </w:tcBorders>
            <w:vAlign w:val="center"/>
          </w:tcPr>
          <w:p>
            <w:pPr>
              <w:ind w:firstLine="422" w:firstLineChars="200"/>
              <w:jc w:val="center"/>
              <w:rPr>
                <w:rFonts w:hint="eastAsia" w:ascii="仿宋" w:hAnsi="仿宋" w:eastAsia="仿宋"/>
                <w:b/>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6至12个月</w:t>
            </w:r>
          </w:p>
        </w:tc>
        <w:tc>
          <w:tcPr>
            <w:tcW w:w="1686" w:type="dxa"/>
            <w:vMerge w:val="continue"/>
            <w:tcBorders>
              <w:top w:val="single" w:color="auto" w:sz="4" w:space="0"/>
              <w:left w:val="single" w:color="auto" w:sz="4" w:space="0"/>
              <w:bottom w:val="single" w:color="auto" w:sz="4" w:space="0"/>
              <w:right w:val="single" w:color="auto" w:sz="4" w:space="0"/>
            </w:tcBorders>
            <w:vAlign w:val="center"/>
          </w:tcPr>
          <w:p>
            <w:pPr>
              <w:ind w:firstLine="422" w:firstLineChars="200"/>
              <w:jc w:val="center"/>
              <w:rPr>
                <w:rFonts w:hint="eastAsia" w:ascii="仿宋" w:hAnsi="仿宋" w:eastAsia="仿宋"/>
                <w:b/>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2区</w:t>
            </w: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1至2年</w:t>
            </w:r>
          </w:p>
        </w:tc>
        <w:tc>
          <w:tcPr>
            <w:tcW w:w="1686"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30％</w:t>
            </w: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2至3年</w:t>
            </w:r>
          </w:p>
        </w:tc>
        <w:tc>
          <w:tcPr>
            <w:tcW w:w="1686"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01" w:hRule="atLeast"/>
          <w:jc w:val="center"/>
        </w:trPr>
        <w:tc>
          <w:tcPr>
            <w:tcW w:w="1089"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236" w:type="dxa"/>
            <w:tcBorders>
              <w:top w:val="single" w:color="auto" w:sz="4" w:space="0"/>
              <w:left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3至4年</w:t>
            </w:r>
          </w:p>
        </w:tc>
        <w:tc>
          <w:tcPr>
            <w:tcW w:w="1686"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33" w:hRule="atLeast"/>
          <w:jc w:val="center"/>
        </w:trPr>
        <w:tc>
          <w:tcPr>
            <w:tcW w:w="1089"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3区</w:t>
            </w: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4至5年</w:t>
            </w:r>
          </w:p>
        </w:tc>
        <w:tc>
          <w:tcPr>
            <w:tcW w:w="1686" w:type="dxa"/>
            <w:vMerge w:val="restart"/>
            <w:tcBorders>
              <w:top w:val="single" w:color="auto" w:sz="4" w:space="0"/>
              <w:left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30％</w:t>
            </w: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32" w:hRule="atLeast"/>
          <w:jc w:val="center"/>
        </w:trPr>
        <w:tc>
          <w:tcPr>
            <w:tcW w:w="1089"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5到7年</w:t>
            </w:r>
          </w:p>
        </w:tc>
        <w:tc>
          <w:tcPr>
            <w:tcW w:w="1686"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7至10年</w:t>
            </w:r>
          </w:p>
        </w:tc>
        <w:tc>
          <w:tcPr>
            <w:tcW w:w="1686"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10至15年</w:t>
            </w:r>
          </w:p>
        </w:tc>
        <w:tc>
          <w:tcPr>
            <w:tcW w:w="1686"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15至20年</w:t>
            </w:r>
          </w:p>
        </w:tc>
        <w:tc>
          <w:tcPr>
            <w:tcW w:w="1686"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jc w:val="center"/>
        </w:trPr>
        <w:tc>
          <w:tcPr>
            <w:tcW w:w="1089" w:type="dxa"/>
            <w:vMerge w:val="continue"/>
            <w:tcBorders>
              <w:left w:val="single" w:color="auto" w:sz="4" w:space="0"/>
              <w:right w:val="single" w:color="auto" w:sz="4" w:space="0"/>
            </w:tcBorders>
            <w:vAlign w:val="center"/>
          </w:tcPr>
          <w:p>
            <w:pPr>
              <w:ind w:firstLine="420" w:firstLineChars="200"/>
              <w:jc w:val="center"/>
              <w:rPr>
                <w:rFonts w:hint="eastAsia" w:ascii="仿宋" w:hAnsi="仿宋" w:eastAsia="仿宋"/>
                <w:szCs w:val="21"/>
              </w:rPr>
            </w:pPr>
          </w:p>
        </w:tc>
        <w:tc>
          <w:tcPr>
            <w:tcW w:w="223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szCs w:val="21"/>
              </w:rPr>
            </w:pPr>
            <w:r>
              <w:rPr>
                <w:rFonts w:hint="eastAsia" w:ascii="仿宋" w:hAnsi="仿宋" w:eastAsia="仿宋"/>
                <w:szCs w:val="21"/>
              </w:rPr>
              <w:t>20年以上</w:t>
            </w:r>
          </w:p>
        </w:tc>
        <w:tc>
          <w:tcPr>
            <w:tcW w:w="1686"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1859"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c>
          <w:tcPr>
            <w:tcW w:w="2218" w:type="dxa"/>
            <w:vMerge w:val="continue"/>
            <w:tcBorders>
              <w:left w:val="single" w:color="auto" w:sz="4" w:space="0"/>
              <w:right w:val="single" w:color="auto" w:sz="4" w:space="0"/>
            </w:tcBorders>
            <w:vAlign w:val="center"/>
          </w:tcPr>
          <w:p>
            <w:pPr>
              <w:ind w:firstLine="420" w:firstLineChars="200"/>
              <w:rPr>
                <w:rFonts w:hint="eastAsia" w:ascii="仿宋" w:hAnsi="仿宋" w:eastAsia="仿宋"/>
                <w:szCs w:val="21"/>
              </w:rPr>
            </w:pPr>
          </w:p>
        </w:tc>
      </w:tr>
    </w:tbl>
    <w:p>
      <w:pPr>
        <w:ind w:firstLine="420" w:firstLineChars="200"/>
        <w:rPr>
          <w:rFonts w:hint="eastAsia" w:ascii="仿宋" w:hAnsi="仿宋" w:eastAsia="仿宋"/>
          <w:szCs w:val="21"/>
        </w:rPr>
      </w:pPr>
    </w:p>
    <w:p>
      <w:pPr>
        <w:ind w:firstLine="420" w:firstLineChars="200"/>
        <w:rPr>
          <w:rFonts w:hint="eastAsia" w:ascii="仿宋" w:hAnsi="仿宋" w:eastAsia="仿宋"/>
          <w:szCs w:val="21"/>
        </w:rPr>
      </w:pPr>
      <w:r>
        <w:rPr>
          <w:rFonts w:ascii="仿宋" w:hAnsi="仿宋" w:eastAsia="仿宋"/>
          <w:szCs w:val="21"/>
        </w:rPr>
        <w:t>3．经国务院银行业监督管理机构核准，资产公司可以使用久期法计量一般市场风险资本要求。一旦选择使用久期法，应持续使用该方法，如变更方法需经国务院银行业监督管理机构认可。久期法具体计算步骤如下：</w:t>
      </w:r>
    </w:p>
    <w:p>
      <w:pPr>
        <w:ind w:firstLine="420" w:firstLineChars="200"/>
        <w:rPr>
          <w:rFonts w:hint="eastAsia" w:ascii="仿宋" w:hAnsi="仿宋" w:eastAsia="仿宋"/>
          <w:szCs w:val="21"/>
        </w:rPr>
      </w:pPr>
      <w:r>
        <w:rPr>
          <w:rFonts w:ascii="仿宋" w:hAnsi="仿宋" w:eastAsia="仿宋"/>
          <w:szCs w:val="21"/>
        </w:rPr>
        <w:t>（1）在表4中找出每笔头寸期限对应的收益率变化，逐笔计算该收益率变化下的价格敏感性。</w:t>
      </w:r>
    </w:p>
    <w:p>
      <w:pPr>
        <w:ind w:firstLine="420" w:firstLineChars="200"/>
        <w:rPr>
          <w:rFonts w:hint="eastAsia" w:ascii="仿宋" w:hAnsi="仿宋" w:eastAsia="仿宋"/>
          <w:szCs w:val="21"/>
        </w:rPr>
      </w:pPr>
      <w:r>
        <w:rPr>
          <w:rFonts w:ascii="仿宋" w:hAnsi="仿宋" w:eastAsia="仿宋"/>
          <w:szCs w:val="21"/>
        </w:rPr>
        <w:t>（2）将价格敏感性对应到表4的15级久期时段中。</w:t>
      </w:r>
    </w:p>
    <w:p>
      <w:pPr>
        <w:ind w:firstLine="420" w:firstLineChars="200"/>
        <w:rPr>
          <w:rFonts w:hint="eastAsia" w:ascii="仿宋" w:hAnsi="仿宋" w:eastAsia="仿宋"/>
          <w:szCs w:val="21"/>
        </w:rPr>
      </w:pPr>
      <w:r>
        <w:rPr>
          <w:rFonts w:ascii="仿宋" w:hAnsi="仿宋" w:eastAsia="仿宋"/>
          <w:szCs w:val="21"/>
        </w:rPr>
        <w:t>（3）每个时段中的多头和空头头寸分别计提5%的垂直资本要求，以覆盖基差风险。</w:t>
      </w:r>
    </w:p>
    <w:p>
      <w:pPr>
        <w:ind w:firstLine="420" w:firstLineChars="200"/>
        <w:rPr>
          <w:rFonts w:hint="eastAsia" w:ascii="仿宋" w:hAnsi="仿宋" w:eastAsia="仿宋"/>
          <w:szCs w:val="21"/>
        </w:rPr>
      </w:pPr>
      <w:r>
        <w:rPr>
          <w:rFonts w:ascii="仿宋" w:hAnsi="仿宋" w:eastAsia="仿宋"/>
          <w:szCs w:val="21"/>
        </w:rPr>
        <w:t>（4）按照到期日法的要求，计算横向资本要求。</w:t>
      </w:r>
    </w:p>
    <w:p>
      <w:pPr>
        <w:ind w:firstLine="420" w:firstLineChars="200"/>
        <w:rPr>
          <w:rFonts w:hint="eastAsia" w:ascii="仿宋" w:hAnsi="仿宋" w:eastAsia="仿宋"/>
          <w:bCs/>
          <w:szCs w:val="21"/>
        </w:rPr>
      </w:pPr>
      <w:r>
        <w:rPr>
          <w:rFonts w:ascii="仿宋" w:hAnsi="仿宋" w:eastAsia="仿宋"/>
          <w:bCs/>
          <w:szCs w:val="21"/>
        </w:rPr>
        <w:t>（5）按照到期日法的规定，将各区加权头寸净额进行抵消，得出整个交易</w:t>
      </w:r>
      <w:r>
        <w:rPr>
          <w:rFonts w:hint="eastAsia" w:ascii="仿宋" w:hAnsi="仿宋" w:eastAsia="仿宋"/>
          <w:bCs/>
          <w:szCs w:val="21"/>
        </w:rPr>
        <w:t>账簿</w:t>
      </w:r>
      <w:r>
        <w:rPr>
          <w:rFonts w:ascii="仿宋" w:hAnsi="仿宋" w:eastAsia="仿宋"/>
          <w:bCs/>
          <w:szCs w:val="21"/>
        </w:rPr>
        <w:t>的加权净多头或净空头所对应的资本要求。</w:t>
      </w:r>
    </w:p>
    <w:p>
      <w:pPr>
        <w:jc w:val="center"/>
        <w:rPr>
          <w:rFonts w:hint="eastAsia" w:ascii="仿宋" w:hAnsi="仿宋" w:eastAsia="仿宋"/>
          <w:bCs/>
          <w:szCs w:val="21"/>
        </w:rPr>
      </w:pPr>
    </w:p>
    <w:p>
      <w:pPr>
        <w:jc w:val="center"/>
        <w:rPr>
          <w:rFonts w:hint="eastAsia" w:ascii="仿宋" w:hAnsi="仿宋" w:eastAsia="仿宋"/>
          <w:bCs/>
          <w:szCs w:val="21"/>
        </w:rPr>
      </w:pPr>
      <w:r>
        <w:rPr>
          <w:rFonts w:ascii="仿宋" w:hAnsi="仿宋" w:eastAsia="仿宋"/>
          <w:bCs/>
          <w:szCs w:val="21"/>
        </w:rPr>
        <w:t>表4：久期法计算表</w:t>
      </w:r>
    </w:p>
    <w:tbl>
      <w:tblPr>
        <w:tblStyle w:val="42"/>
        <w:tblW w:w="8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95"/>
        <w:gridCol w:w="201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blHeader/>
          <w:jc w:val="center"/>
        </w:trPr>
        <w:tc>
          <w:tcPr>
            <w:tcW w:w="1925" w:type="dxa"/>
            <w:vAlign w:val="center"/>
          </w:tcPr>
          <w:p>
            <w:pPr>
              <w:ind w:firstLine="422" w:firstLineChars="200"/>
              <w:rPr>
                <w:rFonts w:hint="eastAsia" w:ascii="仿宋" w:hAnsi="仿宋" w:eastAsia="仿宋"/>
                <w:b/>
                <w:szCs w:val="21"/>
              </w:rPr>
            </w:pPr>
          </w:p>
        </w:tc>
        <w:tc>
          <w:tcPr>
            <w:tcW w:w="2095" w:type="dxa"/>
            <w:vAlign w:val="center"/>
          </w:tcPr>
          <w:p>
            <w:pPr>
              <w:jc w:val="center"/>
              <w:rPr>
                <w:rFonts w:hint="eastAsia" w:ascii="仿宋" w:hAnsi="仿宋" w:eastAsia="仿宋"/>
                <w:bCs/>
                <w:szCs w:val="21"/>
              </w:rPr>
            </w:pPr>
            <w:r>
              <w:rPr>
                <w:rFonts w:hint="eastAsia" w:ascii="仿宋" w:hAnsi="仿宋" w:eastAsia="仿宋"/>
                <w:bCs/>
                <w:szCs w:val="21"/>
              </w:rPr>
              <w:t>假定收益率变化</w:t>
            </w:r>
          </w:p>
        </w:tc>
        <w:tc>
          <w:tcPr>
            <w:tcW w:w="2015" w:type="dxa"/>
            <w:vAlign w:val="center"/>
          </w:tcPr>
          <w:p>
            <w:pPr>
              <w:ind w:firstLine="420" w:firstLineChars="200"/>
              <w:jc w:val="center"/>
              <w:rPr>
                <w:rFonts w:hint="eastAsia" w:ascii="仿宋" w:hAnsi="仿宋" w:eastAsia="仿宋"/>
                <w:bCs/>
                <w:szCs w:val="21"/>
              </w:rPr>
            </w:pPr>
          </w:p>
        </w:tc>
        <w:tc>
          <w:tcPr>
            <w:tcW w:w="2065" w:type="dxa"/>
            <w:vAlign w:val="center"/>
          </w:tcPr>
          <w:p>
            <w:pPr>
              <w:jc w:val="center"/>
              <w:rPr>
                <w:rFonts w:hint="eastAsia" w:ascii="仿宋" w:hAnsi="仿宋" w:eastAsia="仿宋"/>
                <w:bCs/>
                <w:szCs w:val="21"/>
              </w:rPr>
            </w:pPr>
            <w:r>
              <w:rPr>
                <w:rFonts w:hint="eastAsia" w:ascii="仿宋" w:hAnsi="仿宋" w:eastAsia="仿宋"/>
                <w:bCs/>
                <w:szCs w:val="21"/>
              </w:rPr>
              <w:t>假定收益率变化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1区</w:t>
            </w:r>
          </w:p>
        </w:tc>
        <w:tc>
          <w:tcPr>
            <w:tcW w:w="2095" w:type="dxa"/>
            <w:vAlign w:val="center"/>
          </w:tcPr>
          <w:p>
            <w:pPr>
              <w:ind w:firstLine="420" w:firstLineChars="200"/>
              <w:jc w:val="center"/>
              <w:rPr>
                <w:rFonts w:hint="eastAsia" w:ascii="仿宋" w:hAnsi="仿宋" w:eastAsia="仿宋"/>
                <w:szCs w:val="21"/>
              </w:rPr>
            </w:pPr>
          </w:p>
        </w:tc>
        <w:tc>
          <w:tcPr>
            <w:tcW w:w="2015" w:type="dxa"/>
            <w:vAlign w:val="center"/>
          </w:tcPr>
          <w:p>
            <w:pPr>
              <w:jc w:val="center"/>
              <w:rPr>
                <w:rFonts w:hint="eastAsia" w:ascii="仿宋" w:hAnsi="仿宋" w:eastAsia="仿宋"/>
                <w:szCs w:val="21"/>
              </w:rPr>
            </w:pPr>
            <w:r>
              <w:rPr>
                <w:rFonts w:hint="eastAsia" w:ascii="仿宋" w:hAnsi="仿宋" w:eastAsia="仿宋"/>
                <w:szCs w:val="21"/>
              </w:rPr>
              <w:t>3区</w:t>
            </w:r>
          </w:p>
        </w:tc>
        <w:tc>
          <w:tcPr>
            <w:tcW w:w="2065" w:type="dxa"/>
            <w:vAlign w:val="center"/>
          </w:tcPr>
          <w:p>
            <w:pPr>
              <w:ind w:firstLine="420" w:firstLineChars="200"/>
              <w:jc w:val="center"/>
              <w:rPr>
                <w:rFonts w:hint="eastAsia"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0-1月</w:t>
            </w:r>
          </w:p>
        </w:tc>
        <w:tc>
          <w:tcPr>
            <w:tcW w:w="2095" w:type="dxa"/>
            <w:vAlign w:val="center"/>
          </w:tcPr>
          <w:p>
            <w:pPr>
              <w:jc w:val="center"/>
              <w:rPr>
                <w:rFonts w:hint="eastAsia" w:ascii="仿宋" w:hAnsi="仿宋" w:eastAsia="仿宋"/>
                <w:szCs w:val="21"/>
              </w:rPr>
            </w:pPr>
            <w:r>
              <w:rPr>
                <w:rFonts w:hint="eastAsia" w:ascii="仿宋" w:hAnsi="仿宋" w:eastAsia="仿宋"/>
                <w:szCs w:val="21"/>
              </w:rPr>
              <w:t>1.00</w:t>
            </w:r>
          </w:p>
        </w:tc>
        <w:tc>
          <w:tcPr>
            <w:tcW w:w="2015" w:type="dxa"/>
            <w:vAlign w:val="center"/>
          </w:tcPr>
          <w:p>
            <w:pPr>
              <w:jc w:val="center"/>
              <w:rPr>
                <w:rFonts w:hint="eastAsia" w:ascii="仿宋" w:hAnsi="仿宋" w:eastAsia="仿宋"/>
                <w:szCs w:val="21"/>
              </w:rPr>
            </w:pPr>
            <w:r>
              <w:rPr>
                <w:rFonts w:hint="eastAsia" w:ascii="仿宋" w:hAnsi="仿宋" w:eastAsia="仿宋"/>
                <w:szCs w:val="21"/>
              </w:rPr>
              <w:t>3.6-4.3年</w:t>
            </w:r>
          </w:p>
        </w:tc>
        <w:tc>
          <w:tcPr>
            <w:tcW w:w="2065" w:type="dxa"/>
            <w:vAlign w:val="center"/>
          </w:tcPr>
          <w:p>
            <w:pPr>
              <w:jc w:val="center"/>
              <w:rPr>
                <w:rFonts w:hint="eastAsia" w:ascii="仿宋" w:hAnsi="仿宋" w:eastAsia="仿宋"/>
                <w:szCs w:val="21"/>
              </w:rPr>
            </w:pPr>
            <w:r>
              <w:rPr>
                <w:rFonts w:hint="eastAsia" w:ascii="仿宋" w:hAnsi="仿宋" w:eastAsia="仿宋"/>
                <w:szCs w:val="21"/>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1-3月</w:t>
            </w:r>
          </w:p>
        </w:tc>
        <w:tc>
          <w:tcPr>
            <w:tcW w:w="2095" w:type="dxa"/>
            <w:vAlign w:val="center"/>
          </w:tcPr>
          <w:p>
            <w:pPr>
              <w:jc w:val="center"/>
              <w:rPr>
                <w:rFonts w:hint="eastAsia" w:ascii="仿宋" w:hAnsi="仿宋" w:eastAsia="仿宋"/>
                <w:szCs w:val="21"/>
              </w:rPr>
            </w:pPr>
            <w:r>
              <w:rPr>
                <w:rFonts w:hint="eastAsia" w:ascii="仿宋" w:hAnsi="仿宋" w:eastAsia="仿宋"/>
                <w:szCs w:val="21"/>
              </w:rPr>
              <w:t>1.00</w:t>
            </w:r>
          </w:p>
        </w:tc>
        <w:tc>
          <w:tcPr>
            <w:tcW w:w="2015" w:type="dxa"/>
            <w:vAlign w:val="center"/>
          </w:tcPr>
          <w:p>
            <w:pPr>
              <w:jc w:val="center"/>
              <w:rPr>
                <w:rFonts w:hint="eastAsia" w:ascii="仿宋" w:hAnsi="仿宋" w:eastAsia="仿宋"/>
                <w:szCs w:val="21"/>
              </w:rPr>
            </w:pPr>
            <w:r>
              <w:rPr>
                <w:rFonts w:hint="eastAsia" w:ascii="仿宋" w:hAnsi="仿宋" w:eastAsia="仿宋"/>
                <w:szCs w:val="21"/>
              </w:rPr>
              <w:t>4.3-5.7年</w:t>
            </w:r>
          </w:p>
        </w:tc>
        <w:tc>
          <w:tcPr>
            <w:tcW w:w="2065" w:type="dxa"/>
            <w:vAlign w:val="center"/>
          </w:tcPr>
          <w:p>
            <w:pPr>
              <w:jc w:val="center"/>
              <w:rPr>
                <w:rFonts w:hint="eastAsia" w:ascii="仿宋" w:hAnsi="仿宋" w:eastAsia="仿宋"/>
                <w:szCs w:val="21"/>
              </w:rPr>
            </w:pPr>
            <w:r>
              <w:rPr>
                <w:rFonts w:hint="eastAsia" w:ascii="仿宋" w:hAnsi="仿宋" w:eastAsia="仿宋"/>
                <w:szCs w:val="21"/>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3-6月</w:t>
            </w:r>
          </w:p>
        </w:tc>
        <w:tc>
          <w:tcPr>
            <w:tcW w:w="2095" w:type="dxa"/>
            <w:vAlign w:val="center"/>
          </w:tcPr>
          <w:p>
            <w:pPr>
              <w:jc w:val="center"/>
              <w:rPr>
                <w:rFonts w:hint="eastAsia" w:ascii="仿宋" w:hAnsi="仿宋" w:eastAsia="仿宋"/>
                <w:szCs w:val="21"/>
              </w:rPr>
            </w:pPr>
            <w:r>
              <w:rPr>
                <w:rFonts w:hint="eastAsia" w:ascii="仿宋" w:hAnsi="仿宋" w:eastAsia="仿宋"/>
                <w:szCs w:val="21"/>
              </w:rPr>
              <w:t>1.00</w:t>
            </w:r>
          </w:p>
        </w:tc>
        <w:tc>
          <w:tcPr>
            <w:tcW w:w="2015" w:type="dxa"/>
            <w:vAlign w:val="center"/>
          </w:tcPr>
          <w:p>
            <w:pPr>
              <w:jc w:val="center"/>
              <w:rPr>
                <w:rFonts w:hint="eastAsia" w:ascii="仿宋" w:hAnsi="仿宋" w:eastAsia="仿宋"/>
                <w:szCs w:val="21"/>
              </w:rPr>
            </w:pPr>
            <w:r>
              <w:rPr>
                <w:rFonts w:hint="eastAsia" w:ascii="仿宋" w:hAnsi="仿宋" w:eastAsia="仿宋"/>
                <w:szCs w:val="21"/>
              </w:rPr>
              <w:t>5.7-7.3年</w:t>
            </w:r>
          </w:p>
        </w:tc>
        <w:tc>
          <w:tcPr>
            <w:tcW w:w="2065" w:type="dxa"/>
            <w:vAlign w:val="center"/>
          </w:tcPr>
          <w:p>
            <w:pPr>
              <w:jc w:val="center"/>
              <w:rPr>
                <w:rFonts w:hint="eastAsia" w:ascii="仿宋" w:hAnsi="仿宋" w:eastAsia="仿宋"/>
                <w:szCs w:val="21"/>
              </w:rPr>
            </w:pPr>
            <w:r>
              <w:rPr>
                <w:rFonts w:hint="eastAsia" w:ascii="仿宋" w:hAnsi="仿宋" w:eastAsia="仿宋"/>
                <w:szCs w:val="21"/>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6-12月</w:t>
            </w:r>
          </w:p>
        </w:tc>
        <w:tc>
          <w:tcPr>
            <w:tcW w:w="2095" w:type="dxa"/>
            <w:vAlign w:val="center"/>
          </w:tcPr>
          <w:p>
            <w:pPr>
              <w:jc w:val="center"/>
              <w:rPr>
                <w:rFonts w:hint="eastAsia" w:ascii="仿宋" w:hAnsi="仿宋" w:eastAsia="仿宋"/>
                <w:szCs w:val="21"/>
              </w:rPr>
            </w:pPr>
            <w:r>
              <w:rPr>
                <w:rFonts w:hint="eastAsia" w:ascii="仿宋" w:hAnsi="仿宋" w:eastAsia="仿宋"/>
                <w:szCs w:val="21"/>
              </w:rPr>
              <w:t>1.00</w:t>
            </w:r>
          </w:p>
        </w:tc>
        <w:tc>
          <w:tcPr>
            <w:tcW w:w="2015" w:type="dxa"/>
            <w:vAlign w:val="center"/>
          </w:tcPr>
          <w:p>
            <w:pPr>
              <w:jc w:val="center"/>
              <w:rPr>
                <w:rFonts w:hint="eastAsia" w:ascii="仿宋" w:hAnsi="仿宋" w:eastAsia="仿宋"/>
                <w:szCs w:val="21"/>
              </w:rPr>
            </w:pPr>
            <w:r>
              <w:rPr>
                <w:rFonts w:hint="eastAsia" w:ascii="仿宋" w:hAnsi="仿宋" w:eastAsia="仿宋"/>
                <w:szCs w:val="21"/>
              </w:rPr>
              <w:t>7.3-9.3年</w:t>
            </w:r>
          </w:p>
        </w:tc>
        <w:tc>
          <w:tcPr>
            <w:tcW w:w="2065" w:type="dxa"/>
            <w:vAlign w:val="center"/>
          </w:tcPr>
          <w:p>
            <w:pPr>
              <w:jc w:val="center"/>
              <w:rPr>
                <w:rFonts w:hint="eastAsia" w:ascii="仿宋" w:hAnsi="仿宋" w:eastAsia="仿宋"/>
                <w:szCs w:val="21"/>
              </w:rPr>
            </w:pPr>
            <w:r>
              <w:rPr>
                <w:rFonts w:hint="eastAsia" w:ascii="仿宋" w:hAnsi="仿宋" w:eastAsia="仿宋"/>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ind w:firstLine="420" w:firstLineChars="200"/>
              <w:jc w:val="center"/>
              <w:rPr>
                <w:rFonts w:hint="eastAsia" w:ascii="仿宋" w:hAnsi="仿宋" w:eastAsia="仿宋"/>
                <w:szCs w:val="21"/>
              </w:rPr>
            </w:pPr>
          </w:p>
        </w:tc>
        <w:tc>
          <w:tcPr>
            <w:tcW w:w="2095" w:type="dxa"/>
            <w:vAlign w:val="center"/>
          </w:tcPr>
          <w:p>
            <w:pPr>
              <w:ind w:firstLine="420" w:firstLineChars="200"/>
              <w:jc w:val="center"/>
              <w:rPr>
                <w:rFonts w:hint="eastAsia" w:ascii="仿宋" w:hAnsi="仿宋" w:eastAsia="仿宋"/>
                <w:szCs w:val="21"/>
              </w:rPr>
            </w:pPr>
          </w:p>
        </w:tc>
        <w:tc>
          <w:tcPr>
            <w:tcW w:w="2015" w:type="dxa"/>
            <w:vAlign w:val="center"/>
          </w:tcPr>
          <w:p>
            <w:pPr>
              <w:jc w:val="center"/>
              <w:rPr>
                <w:rFonts w:hint="eastAsia" w:ascii="仿宋" w:hAnsi="仿宋" w:eastAsia="仿宋"/>
                <w:szCs w:val="21"/>
              </w:rPr>
            </w:pPr>
            <w:r>
              <w:rPr>
                <w:rFonts w:hint="eastAsia" w:ascii="仿宋" w:hAnsi="仿宋" w:eastAsia="仿宋"/>
                <w:szCs w:val="21"/>
              </w:rPr>
              <w:t>9.3-10.6年</w:t>
            </w:r>
          </w:p>
        </w:tc>
        <w:tc>
          <w:tcPr>
            <w:tcW w:w="2065" w:type="dxa"/>
            <w:vAlign w:val="center"/>
          </w:tcPr>
          <w:p>
            <w:pPr>
              <w:jc w:val="center"/>
              <w:rPr>
                <w:rFonts w:hint="eastAsia" w:ascii="仿宋" w:hAnsi="仿宋" w:eastAsia="仿宋"/>
                <w:szCs w:val="21"/>
              </w:rPr>
            </w:pPr>
            <w:r>
              <w:rPr>
                <w:rFonts w:hint="eastAsia" w:ascii="仿宋" w:hAnsi="仿宋" w:eastAsia="仿宋"/>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2区</w:t>
            </w:r>
          </w:p>
        </w:tc>
        <w:tc>
          <w:tcPr>
            <w:tcW w:w="2095" w:type="dxa"/>
            <w:vAlign w:val="center"/>
          </w:tcPr>
          <w:p>
            <w:pPr>
              <w:ind w:firstLine="420" w:firstLineChars="200"/>
              <w:jc w:val="center"/>
              <w:rPr>
                <w:rFonts w:hint="eastAsia" w:ascii="仿宋" w:hAnsi="仿宋" w:eastAsia="仿宋"/>
                <w:szCs w:val="21"/>
              </w:rPr>
            </w:pPr>
          </w:p>
        </w:tc>
        <w:tc>
          <w:tcPr>
            <w:tcW w:w="2015" w:type="dxa"/>
            <w:vAlign w:val="center"/>
          </w:tcPr>
          <w:p>
            <w:pPr>
              <w:jc w:val="center"/>
              <w:rPr>
                <w:rFonts w:hint="eastAsia" w:ascii="仿宋" w:hAnsi="仿宋" w:eastAsia="仿宋"/>
                <w:szCs w:val="21"/>
              </w:rPr>
            </w:pPr>
            <w:r>
              <w:rPr>
                <w:rFonts w:hint="eastAsia" w:ascii="仿宋" w:hAnsi="仿宋" w:eastAsia="仿宋"/>
                <w:szCs w:val="21"/>
              </w:rPr>
              <w:t>10.6-12年</w:t>
            </w:r>
          </w:p>
        </w:tc>
        <w:tc>
          <w:tcPr>
            <w:tcW w:w="2065" w:type="dxa"/>
            <w:vAlign w:val="center"/>
          </w:tcPr>
          <w:p>
            <w:pPr>
              <w:jc w:val="center"/>
              <w:rPr>
                <w:rFonts w:hint="eastAsia" w:ascii="仿宋" w:hAnsi="仿宋" w:eastAsia="仿宋"/>
                <w:szCs w:val="21"/>
              </w:rPr>
            </w:pPr>
            <w:r>
              <w:rPr>
                <w:rFonts w:hint="eastAsia" w:ascii="仿宋" w:hAnsi="仿宋" w:eastAsia="仿宋"/>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1-1.9年</w:t>
            </w:r>
          </w:p>
        </w:tc>
        <w:tc>
          <w:tcPr>
            <w:tcW w:w="2095" w:type="dxa"/>
            <w:vAlign w:val="center"/>
          </w:tcPr>
          <w:p>
            <w:pPr>
              <w:jc w:val="center"/>
              <w:rPr>
                <w:rFonts w:hint="eastAsia" w:ascii="仿宋" w:hAnsi="仿宋" w:eastAsia="仿宋"/>
                <w:szCs w:val="21"/>
              </w:rPr>
            </w:pPr>
            <w:r>
              <w:rPr>
                <w:rFonts w:hint="eastAsia" w:ascii="仿宋" w:hAnsi="仿宋" w:eastAsia="仿宋"/>
                <w:szCs w:val="21"/>
              </w:rPr>
              <w:t>0.90</w:t>
            </w:r>
          </w:p>
        </w:tc>
        <w:tc>
          <w:tcPr>
            <w:tcW w:w="2015" w:type="dxa"/>
            <w:vAlign w:val="center"/>
          </w:tcPr>
          <w:p>
            <w:pPr>
              <w:jc w:val="center"/>
              <w:rPr>
                <w:rFonts w:hint="eastAsia" w:ascii="仿宋" w:hAnsi="仿宋" w:eastAsia="仿宋"/>
                <w:szCs w:val="21"/>
              </w:rPr>
            </w:pPr>
            <w:r>
              <w:rPr>
                <w:rFonts w:hint="eastAsia" w:ascii="仿宋" w:hAnsi="仿宋" w:eastAsia="仿宋"/>
                <w:szCs w:val="21"/>
              </w:rPr>
              <w:t>12-20年</w:t>
            </w:r>
          </w:p>
        </w:tc>
        <w:tc>
          <w:tcPr>
            <w:tcW w:w="2065" w:type="dxa"/>
            <w:vAlign w:val="center"/>
          </w:tcPr>
          <w:p>
            <w:pPr>
              <w:jc w:val="center"/>
              <w:rPr>
                <w:rFonts w:hint="eastAsia" w:ascii="仿宋" w:hAnsi="仿宋" w:eastAsia="仿宋"/>
                <w:szCs w:val="21"/>
              </w:rPr>
            </w:pPr>
            <w:r>
              <w:rPr>
                <w:rFonts w:hint="eastAsia" w:ascii="仿宋" w:hAnsi="仿宋" w:eastAsia="仿宋"/>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1.9-2.8年</w:t>
            </w:r>
          </w:p>
        </w:tc>
        <w:tc>
          <w:tcPr>
            <w:tcW w:w="2095" w:type="dxa"/>
            <w:vAlign w:val="center"/>
          </w:tcPr>
          <w:p>
            <w:pPr>
              <w:jc w:val="center"/>
              <w:rPr>
                <w:rFonts w:hint="eastAsia" w:ascii="仿宋" w:hAnsi="仿宋" w:eastAsia="仿宋"/>
                <w:szCs w:val="21"/>
              </w:rPr>
            </w:pPr>
            <w:r>
              <w:rPr>
                <w:rFonts w:hint="eastAsia" w:ascii="仿宋" w:hAnsi="仿宋" w:eastAsia="仿宋"/>
                <w:szCs w:val="21"/>
              </w:rPr>
              <w:t>0.80</w:t>
            </w:r>
          </w:p>
        </w:tc>
        <w:tc>
          <w:tcPr>
            <w:tcW w:w="2015" w:type="dxa"/>
            <w:vAlign w:val="center"/>
          </w:tcPr>
          <w:p>
            <w:pPr>
              <w:jc w:val="center"/>
              <w:rPr>
                <w:rFonts w:hint="eastAsia" w:ascii="仿宋" w:hAnsi="仿宋" w:eastAsia="仿宋"/>
                <w:szCs w:val="21"/>
              </w:rPr>
            </w:pPr>
            <w:r>
              <w:rPr>
                <w:rFonts w:hint="eastAsia" w:ascii="仿宋" w:hAnsi="仿宋" w:eastAsia="仿宋"/>
                <w:szCs w:val="21"/>
              </w:rPr>
              <w:t>20年以上</w:t>
            </w:r>
          </w:p>
        </w:tc>
        <w:tc>
          <w:tcPr>
            <w:tcW w:w="2065" w:type="dxa"/>
            <w:vAlign w:val="center"/>
          </w:tcPr>
          <w:p>
            <w:pPr>
              <w:jc w:val="center"/>
              <w:rPr>
                <w:rFonts w:hint="eastAsia" w:ascii="仿宋" w:hAnsi="仿宋" w:eastAsia="仿宋"/>
                <w:szCs w:val="21"/>
              </w:rPr>
            </w:pPr>
            <w:r>
              <w:rPr>
                <w:rFonts w:hint="eastAsia" w:ascii="仿宋" w:hAnsi="仿宋" w:eastAsia="仿宋"/>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925" w:type="dxa"/>
            <w:vAlign w:val="center"/>
          </w:tcPr>
          <w:p>
            <w:pPr>
              <w:jc w:val="center"/>
              <w:rPr>
                <w:rFonts w:hint="eastAsia" w:ascii="仿宋" w:hAnsi="仿宋" w:eastAsia="仿宋"/>
                <w:szCs w:val="21"/>
              </w:rPr>
            </w:pPr>
            <w:r>
              <w:rPr>
                <w:rFonts w:hint="eastAsia" w:ascii="仿宋" w:hAnsi="仿宋" w:eastAsia="仿宋"/>
                <w:szCs w:val="21"/>
              </w:rPr>
              <w:t>2.8-3.6年</w:t>
            </w:r>
          </w:p>
        </w:tc>
        <w:tc>
          <w:tcPr>
            <w:tcW w:w="2095" w:type="dxa"/>
            <w:vAlign w:val="center"/>
          </w:tcPr>
          <w:p>
            <w:pPr>
              <w:jc w:val="center"/>
              <w:rPr>
                <w:rFonts w:hint="eastAsia" w:ascii="仿宋" w:hAnsi="仿宋" w:eastAsia="仿宋"/>
                <w:szCs w:val="21"/>
              </w:rPr>
            </w:pPr>
            <w:r>
              <w:rPr>
                <w:rFonts w:hint="eastAsia" w:ascii="仿宋" w:hAnsi="仿宋" w:eastAsia="仿宋"/>
                <w:szCs w:val="21"/>
              </w:rPr>
              <w:t>0.75</w:t>
            </w:r>
          </w:p>
        </w:tc>
        <w:tc>
          <w:tcPr>
            <w:tcW w:w="2015" w:type="dxa"/>
            <w:vAlign w:val="center"/>
          </w:tcPr>
          <w:p>
            <w:pPr>
              <w:ind w:firstLine="420" w:firstLineChars="200"/>
              <w:jc w:val="center"/>
              <w:rPr>
                <w:rFonts w:hint="eastAsia" w:ascii="仿宋" w:hAnsi="仿宋" w:eastAsia="仿宋"/>
                <w:szCs w:val="21"/>
              </w:rPr>
            </w:pPr>
          </w:p>
        </w:tc>
        <w:tc>
          <w:tcPr>
            <w:tcW w:w="2065" w:type="dxa"/>
            <w:vAlign w:val="center"/>
          </w:tcPr>
          <w:p>
            <w:pPr>
              <w:ind w:firstLine="420" w:firstLineChars="200"/>
              <w:rPr>
                <w:rFonts w:hint="eastAsia" w:ascii="仿宋" w:hAnsi="仿宋" w:eastAsia="仿宋"/>
                <w:szCs w:val="21"/>
              </w:rPr>
            </w:pPr>
          </w:p>
        </w:tc>
      </w:tr>
    </w:tbl>
    <w:p>
      <w:pPr>
        <w:ind w:firstLine="422" w:firstLineChars="200"/>
        <w:rPr>
          <w:rFonts w:hint="eastAsia" w:ascii="仿宋" w:hAnsi="仿宋" w:eastAsia="仿宋"/>
          <w:b/>
          <w:szCs w:val="21"/>
        </w:rPr>
      </w:pPr>
    </w:p>
    <w:p>
      <w:pPr>
        <w:ind w:firstLine="420" w:firstLineChars="200"/>
        <w:rPr>
          <w:rFonts w:hint="eastAsia" w:ascii="仿宋" w:hAnsi="仿宋" w:eastAsia="仿宋"/>
          <w:bCs/>
          <w:szCs w:val="21"/>
        </w:rPr>
      </w:pPr>
      <w:r>
        <w:rPr>
          <w:rFonts w:ascii="仿宋" w:hAnsi="仿宋" w:eastAsia="仿宋"/>
          <w:bCs/>
          <w:szCs w:val="21"/>
        </w:rPr>
        <w:t>（三）利率及债券衍生工具</w:t>
      </w:r>
    </w:p>
    <w:p>
      <w:pPr>
        <w:ind w:firstLine="420" w:firstLineChars="200"/>
        <w:rPr>
          <w:rFonts w:hint="eastAsia" w:ascii="仿宋" w:hAnsi="仿宋" w:eastAsia="仿宋"/>
          <w:szCs w:val="21"/>
        </w:rPr>
      </w:pPr>
      <w:r>
        <w:rPr>
          <w:rFonts w:ascii="仿宋" w:hAnsi="仿宋" w:eastAsia="仿宋"/>
          <w:szCs w:val="21"/>
        </w:rPr>
        <w:t>1．利率衍生工具包括受利率变化影响的衍生金融工具，如：利率期货、远期利率协议、利率互换及交叉货币互换合约、利率期权及远期外汇头寸。</w:t>
      </w:r>
    </w:p>
    <w:p>
      <w:pPr>
        <w:ind w:firstLine="420" w:firstLineChars="200"/>
        <w:rPr>
          <w:rFonts w:hint="eastAsia" w:ascii="仿宋" w:hAnsi="仿宋" w:eastAsia="仿宋"/>
          <w:szCs w:val="21"/>
        </w:rPr>
      </w:pPr>
      <w:r>
        <w:rPr>
          <w:rFonts w:ascii="仿宋" w:hAnsi="仿宋" w:eastAsia="仿宋"/>
          <w:szCs w:val="21"/>
        </w:rPr>
        <w:t xml:space="preserve">债券衍生工具包括债券的远期、期货和债券期权。 </w:t>
      </w:r>
    </w:p>
    <w:p>
      <w:pPr>
        <w:ind w:firstLine="420" w:firstLineChars="200"/>
        <w:rPr>
          <w:rFonts w:hint="eastAsia" w:ascii="仿宋" w:hAnsi="仿宋" w:eastAsia="仿宋"/>
          <w:szCs w:val="21"/>
        </w:rPr>
      </w:pPr>
      <w:r>
        <w:rPr>
          <w:rFonts w:ascii="仿宋" w:hAnsi="仿宋" w:eastAsia="仿宋"/>
          <w:szCs w:val="21"/>
        </w:rPr>
        <w:t>2．衍生工具应转换为基础工具，并按基础工具的特定市场风险和一般市场风险的方法计算资本要求。利率和货币互换、远期利率协议、远期外汇合约、利率期货及利率指数期货不必计算特定市场风险的资本要求；如果期货合约的基础工具是债券或代表债券组合的指数，则应根据发行主体的信用风险计算特定市场风险资本要求。</w:t>
      </w:r>
    </w:p>
    <w:p>
      <w:pPr>
        <w:ind w:firstLine="420" w:firstLineChars="200"/>
        <w:rPr>
          <w:rFonts w:hint="eastAsia" w:ascii="仿宋" w:hAnsi="仿宋" w:eastAsia="仿宋"/>
          <w:bCs/>
          <w:szCs w:val="21"/>
        </w:rPr>
      </w:pPr>
      <w:r>
        <w:rPr>
          <w:rFonts w:ascii="仿宋" w:hAnsi="仿宋" w:eastAsia="仿宋"/>
          <w:bCs/>
          <w:szCs w:val="21"/>
        </w:rPr>
        <w:t>三、股票风险</w:t>
      </w:r>
    </w:p>
    <w:p>
      <w:pPr>
        <w:ind w:firstLine="420" w:firstLineChars="200"/>
        <w:rPr>
          <w:rFonts w:hint="eastAsia" w:ascii="仿宋" w:hAnsi="仿宋" w:eastAsia="仿宋"/>
          <w:szCs w:val="21"/>
        </w:rPr>
      </w:pPr>
      <w:r>
        <w:rPr>
          <w:rFonts w:ascii="仿宋" w:hAnsi="仿宋" w:eastAsia="仿宋"/>
          <w:szCs w:val="21"/>
        </w:rPr>
        <w:t>股票风险是指交易</w:t>
      </w:r>
      <w:r>
        <w:rPr>
          <w:rFonts w:hint="eastAsia" w:ascii="仿宋" w:hAnsi="仿宋" w:eastAsia="仿宋"/>
          <w:szCs w:val="21"/>
        </w:rPr>
        <w:t>账簿</w:t>
      </w:r>
      <w:r>
        <w:rPr>
          <w:rFonts w:ascii="仿宋" w:hAnsi="仿宋" w:eastAsia="仿宋"/>
          <w:szCs w:val="21"/>
        </w:rPr>
        <w:t>中股票及股票衍生金融工具头寸的风险。其中股票是指按照股票交易规则进行交易的所有金融工具，包括普通股（不考虑是否具有投票权）、可转换债券和买卖股票的承诺。</w:t>
      </w:r>
    </w:p>
    <w:p>
      <w:pPr>
        <w:ind w:firstLine="420" w:firstLineChars="200"/>
        <w:rPr>
          <w:rFonts w:hint="eastAsia" w:ascii="仿宋" w:hAnsi="仿宋" w:eastAsia="仿宋"/>
          <w:bCs/>
          <w:szCs w:val="21"/>
        </w:rPr>
      </w:pPr>
      <w:r>
        <w:rPr>
          <w:rFonts w:ascii="仿宋" w:hAnsi="仿宋" w:eastAsia="仿宋"/>
          <w:bCs/>
          <w:szCs w:val="21"/>
        </w:rPr>
        <w:t>（一）特定市场风险和一般市场风险</w:t>
      </w:r>
    </w:p>
    <w:p>
      <w:pPr>
        <w:ind w:firstLine="420" w:firstLineChars="200"/>
        <w:rPr>
          <w:rFonts w:hint="eastAsia" w:ascii="仿宋" w:hAnsi="仿宋" w:eastAsia="仿宋"/>
          <w:szCs w:val="21"/>
        </w:rPr>
      </w:pPr>
      <w:r>
        <w:rPr>
          <w:rFonts w:ascii="仿宋" w:hAnsi="仿宋" w:eastAsia="仿宋"/>
          <w:szCs w:val="21"/>
        </w:rPr>
        <w:t>特定市场风险的资本要求等于各不同市场中各类股票多头头寸绝对值及空头头寸绝对值之和乘以12.5</w:t>
      </w:r>
      <w:r>
        <w:rPr>
          <w:rFonts w:hint="eastAsia" w:ascii="仿宋" w:hAnsi="仿宋" w:eastAsia="仿宋"/>
          <w:szCs w:val="21"/>
        </w:rPr>
        <w:t>%</w:t>
      </w:r>
      <w:r>
        <w:rPr>
          <w:rFonts w:ascii="仿宋" w:hAnsi="仿宋" w:eastAsia="仿宋"/>
          <w:szCs w:val="21"/>
        </w:rPr>
        <w:t>后所得各项数值之和。一般市场风险对应的资本要求，等于各不同市场中各类多头及空头头寸抵消后股票净头寸的绝对值乘以12.5</w:t>
      </w:r>
      <w:r>
        <w:rPr>
          <w:rFonts w:hint="eastAsia" w:ascii="仿宋" w:hAnsi="仿宋" w:eastAsia="仿宋"/>
          <w:szCs w:val="21"/>
        </w:rPr>
        <w:t>%</w:t>
      </w:r>
      <w:r>
        <w:rPr>
          <w:rFonts w:ascii="仿宋" w:hAnsi="仿宋" w:eastAsia="仿宋"/>
          <w:szCs w:val="21"/>
        </w:rPr>
        <w:t>后所得各项数值之和。</w:t>
      </w:r>
    </w:p>
    <w:p>
      <w:pPr>
        <w:ind w:firstLine="420" w:firstLineChars="200"/>
        <w:rPr>
          <w:rFonts w:hint="eastAsia" w:ascii="仿宋" w:hAnsi="仿宋" w:eastAsia="仿宋"/>
          <w:bCs/>
          <w:szCs w:val="21"/>
        </w:rPr>
      </w:pPr>
      <w:r>
        <w:rPr>
          <w:rFonts w:ascii="仿宋" w:hAnsi="仿宋" w:eastAsia="仿宋"/>
          <w:bCs/>
          <w:szCs w:val="21"/>
        </w:rPr>
        <w:t>（二）股票衍生工具</w:t>
      </w:r>
    </w:p>
    <w:p>
      <w:pPr>
        <w:ind w:firstLine="420" w:firstLineChars="200"/>
        <w:rPr>
          <w:rFonts w:hint="eastAsia" w:ascii="仿宋" w:hAnsi="仿宋" w:eastAsia="仿宋"/>
          <w:szCs w:val="21"/>
        </w:rPr>
      </w:pPr>
      <w:r>
        <w:rPr>
          <w:rFonts w:ascii="仿宋" w:hAnsi="仿宋" w:eastAsia="仿宋"/>
          <w:szCs w:val="21"/>
        </w:rPr>
        <w:t>股票衍生工具包括股票和股票指数的远期、期货及互换合约。</w:t>
      </w:r>
    </w:p>
    <w:p>
      <w:pPr>
        <w:ind w:firstLine="420" w:firstLineChars="200"/>
        <w:rPr>
          <w:rFonts w:hint="eastAsia" w:ascii="仿宋" w:hAnsi="仿宋" w:eastAsia="仿宋"/>
          <w:szCs w:val="21"/>
        </w:rPr>
      </w:pPr>
      <w:r>
        <w:rPr>
          <w:rFonts w:ascii="仿宋" w:hAnsi="仿宋" w:eastAsia="仿宋"/>
          <w:szCs w:val="21"/>
        </w:rPr>
        <w:t>衍生工具应转换为基础工具，并按基础工具的特定市场风险和一般市场风险的方法计算资本要求。</w:t>
      </w:r>
    </w:p>
    <w:p>
      <w:pPr>
        <w:ind w:firstLine="420" w:firstLineChars="200"/>
        <w:rPr>
          <w:rFonts w:hint="eastAsia" w:ascii="仿宋" w:hAnsi="仿宋" w:eastAsia="仿宋"/>
          <w:bCs/>
          <w:szCs w:val="21"/>
        </w:rPr>
      </w:pPr>
      <w:r>
        <w:rPr>
          <w:rFonts w:ascii="仿宋" w:hAnsi="仿宋" w:eastAsia="仿宋"/>
          <w:bCs/>
          <w:szCs w:val="21"/>
        </w:rPr>
        <w:t>四、外汇风险</w:t>
      </w:r>
    </w:p>
    <w:p>
      <w:pPr>
        <w:ind w:firstLine="420" w:firstLineChars="200"/>
        <w:rPr>
          <w:rFonts w:hint="eastAsia" w:ascii="仿宋" w:hAnsi="仿宋" w:eastAsia="仿宋"/>
          <w:szCs w:val="21"/>
        </w:rPr>
      </w:pPr>
      <w:r>
        <w:rPr>
          <w:rFonts w:ascii="仿宋" w:hAnsi="仿宋" w:eastAsia="仿宋"/>
          <w:szCs w:val="21"/>
        </w:rPr>
        <w:t>外汇风险是指外汇（包括黄金）及外汇衍生金融工具头寸的风险。</w:t>
      </w:r>
    </w:p>
    <w:p>
      <w:pPr>
        <w:ind w:firstLine="420" w:firstLineChars="200"/>
        <w:rPr>
          <w:rFonts w:hint="eastAsia" w:ascii="仿宋" w:hAnsi="仿宋" w:eastAsia="仿宋"/>
          <w:bCs/>
          <w:szCs w:val="21"/>
        </w:rPr>
      </w:pPr>
      <w:r>
        <w:rPr>
          <w:rFonts w:ascii="仿宋" w:hAnsi="仿宋" w:eastAsia="仿宋"/>
          <w:bCs/>
          <w:szCs w:val="21"/>
        </w:rPr>
        <w:t>（一）结构性外汇风险暴露</w:t>
      </w:r>
    </w:p>
    <w:p>
      <w:pPr>
        <w:ind w:firstLine="420" w:firstLineChars="200"/>
        <w:rPr>
          <w:rFonts w:hint="eastAsia" w:ascii="仿宋" w:hAnsi="仿宋" w:eastAsia="仿宋"/>
          <w:szCs w:val="21"/>
        </w:rPr>
      </w:pPr>
      <w:r>
        <w:rPr>
          <w:rFonts w:ascii="仿宋" w:hAnsi="仿宋" w:eastAsia="仿宋"/>
          <w:szCs w:val="21"/>
        </w:rPr>
        <w:t>结构性外汇风险暴露是指结构性资产或负债形成的非交易性的外汇风险暴露。结构性资产或负债指经营上难以避免的策略性外币资产或负债，可包括：</w:t>
      </w:r>
    </w:p>
    <w:p>
      <w:pPr>
        <w:ind w:firstLine="420" w:firstLineChars="200"/>
        <w:rPr>
          <w:rFonts w:hint="eastAsia" w:ascii="仿宋" w:hAnsi="仿宋" w:eastAsia="仿宋"/>
          <w:szCs w:val="21"/>
        </w:rPr>
      </w:pPr>
      <w:r>
        <w:rPr>
          <w:rFonts w:ascii="仿宋" w:hAnsi="仿宋" w:eastAsia="仿宋"/>
          <w:szCs w:val="21"/>
        </w:rPr>
        <w:t>1．经扣除折旧后的固定资产和物业。</w:t>
      </w:r>
    </w:p>
    <w:p>
      <w:pPr>
        <w:ind w:firstLine="420" w:firstLineChars="200"/>
        <w:rPr>
          <w:rFonts w:hint="eastAsia" w:ascii="仿宋" w:hAnsi="仿宋" w:eastAsia="仿宋"/>
          <w:szCs w:val="21"/>
        </w:rPr>
      </w:pPr>
      <w:r>
        <w:rPr>
          <w:rFonts w:ascii="仿宋" w:hAnsi="仿宋" w:eastAsia="仿宋"/>
          <w:szCs w:val="21"/>
        </w:rPr>
        <w:t>2．与记账本位币所属货币不同的资本（营运资金）和法定储备。</w:t>
      </w:r>
    </w:p>
    <w:p>
      <w:pPr>
        <w:ind w:firstLine="420" w:firstLineChars="200"/>
        <w:rPr>
          <w:rFonts w:hint="eastAsia" w:ascii="仿宋" w:hAnsi="仿宋" w:eastAsia="仿宋"/>
          <w:szCs w:val="21"/>
        </w:rPr>
      </w:pPr>
      <w:r>
        <w:rPr>
          <w:rFonts w:ascii="仿宋" w:hAnsi="仿宋" w:eastAsia="仿宋"/>
          <w:szCs w:val="21"/>
        </w:rPr>
        <w:t>3．对海外附属</w:t>
      </w:r>
      <w:r>
        <w:rPr>
          <w:rFonts w:hint="eastAsia" w:ascii="仿宋" w:hAnsi="仿宋" w:eastAsia="仿宋"/>
          <w:szCs w:val="21"/>
        </w:rPr>
        <w:t>机构</w:t>
      </w:r>
      <w:r>
        <w:rPr>
          <w:rFonts w:ascii="仿宋" w:hAnsi="仿宋" w:eastAsia="仿宋"/>
          <w:szCs w:val="21"/>
        </w:rPr>
        <w:t>和关联公司的投资。</w:t>
      </w:r>
    </w:p>
    <w:p>
      <w:pPr>
        <w:ind w:firstLine="420" w:firstLineChars="200"/>
        <w:rPr>
          <w:rFonts w:hint="eastAsia" w:ascii="仿宋" w:hAnsi="仿宋" w:eastAsia="仿宋"/>
          <w:szCs w:val="21"/>
        </w:rPr>
      </w:pPr>
      <w:r>
        <w:rPr>
          <w:rFonts w:ascii="仿宋" w:hAnsi="仿宋" w:eastAsia="仿宋"/>
          <w:szCs w:val="21"/>
        </w:rPr>
        <w:t>4．为维持资本充足率稳定而持有的头寸。</w:t>
      </w:r>
    </w:p>
    <w:p>
      <w:pPr>
        <w:ind w:firstLine="420" w:firstLineChars="200"/>
        <w:rPr>
          <w:rFonts w:hint="eastAsia" w:ascii="仿宋" w:hAnsi="仿宋" w:eastAsia="仿宋"/>
          <w:bCs/>
          <w:szCs w:val="21"/>
        </w:rPr>
      </w:pPr>
      <w:r>
        <w:rPr>
          <w:rFonts w:ascii="仿宋" w:hAnsi="仿宋" w:eastAsia="仿宋"/>
          <w:bCs/>
          <w:szCs w:val="21"/>
        </w:rPr>
        <w:t>（二）外汇风险的资本要求</w:t>
      </w:r>
    </w:p>
    <w:p>
      <w:pPr>
        <w:ind w:firstLine="420" w:firstLineChars="200"/>
        <w:rPr>
          <w:rFonts w:hint="eastAsia" w:ascii="仿宋" w:hAnsi="仿宋" w:eastAsia="仿宋"/>
          <w:szCs w:val="21"/>
        </w:rPr>
      </w:pPr>
      <w:r>
        <w:rPr>
          <w:rFonts w:ascii="仿宋" w:hAnsi="仿宋" w:eastAsia="仿宋"/>
          <w:szCs w:val="21"/>
        </w:rPr>
        <w:t>外汇风险的资本要求等于净风险暴露头寸总额乘以12.5</w:t>
      </w:r>
      <w:r>
        <w:rPr>
          <w:rFonts w:hint="eastAsia" w:ascii="仿宋" w:hAnsi="仿宋" w:eastAsia="仿宋"/>
          <w:szCs w:val="21"/>
        </w:rPr>
        <w:t>%</w:t>
      </w:r>
      <w:r>
        <w:rPr>
          <w:rFonts w:ascii="仿宋" w:hAnsi="仿宋" w:eastAsia="仿宋"/>
          <w:szCs w:val="21"/>
        </w:rPr>
        <w:t>。</w:t>
      </w:r>
    </w:p>
    <w:p>
      <w:pPr>
        <w:ind w:firstLine="420" w:firstLineChars="200"/>
        <w:rPr>
          <w:rFonts w:hint="eastAsia" w:ascii="仿宋" w:hAnsi="仿宋" w:eastAsia="仿宋"/>
          <w:szCs w:val="21"/>
        </w:rPr>
      </w:pPr>
      <w:r>
        <w:rPr>
          <w:rFonts w:ascii="仿宋" w:hAnsi="仿宋" w:eastAsia="仿宋"/>
          <w:szCs w:val="21"/>
        </w:rPr>
        <w:t>净风险暴露头寸总额等于以下两项之和：</w:t>
      </w:r>
    </w:p>
    <w:p>
      <w:pPr>
        <w:ind w:firstLine="420" w:firstLineChars="200"/>
        <w:rPr>
          <w:rFonts w:hint="eastAsia" w:ascii="仿宋" w:hAnsi="仿宋" w:eastAsia="仿宋"/>
          <w:szCs w:val="21"/>
        </w:rPr>
      </w:pPr>
      <w:r>
        <w:rPr>
          <w:rFonts w:ascii="仿宋" w:hAnsi="仿宋" w:eastAsia="仿宋"/>
          <w:szCs w:val="21"/>
        </w:rPr>
        <w:t>1．外币资产组合（不包括黄金）的净多头头寸之和（净头寸为多头的所有币种的净头寸之和）与净空头头寸之和（净头寸为空头的所有币种的净头寸之和的绝对值）中的较大者。</w:t>
      </w:r>
    </w:p>
    <w:p>
      <w:pPr>
        <w:ind w:firstLine="420" w:firstLineChars="200"/>
        <w:rPr>
          <w:rFonts w:hint="eastAsia" w:ascii="仿宋" w:hAnsi="仿宋" w:eastAsia="仿宋"/>
          <w:szCs w:val="21"/>
        </w:rPr>
      </w:pPr>
      <w:r>
        <w:rPr>
          <w:rFonts w:ascii="仿宋" w:hAnsi="仿宋" w:eastAsia="仿宋"/>
          <w:szCs w:val="21"/>
        </w:rPr>
        <w:t>2．黄金的净头寸。</w:t>
      </w:r>
    </w:p>
    <w:p>
      <w:pPr>
        <w:ind w:firstLine="420" w:firstLineChars="200"/>
        <w:rPr>
          <w:rFonts w:hint="eastAsia" w:ascii="仿宋" w:hAnsi="仿宋" w:eastAsia="仿宋"/>
          <w:bCs/>
          <w:szCs w:val="21"/>
        </w:rPr>
      </w:pPr>
      <w:r>
        <w:rPr>
          <w:rFonts w:ascii="仿宋" w:hAnsi="仿宋" w:eastAsia="仿宋"/>
          <w:bCs/>
          <w:szCs w:val="21"/>
        </w:rPr>
        <w:t>（三）外汇衍生工具</w:t>
      </w:r>
    </w:p>
    <w:p>
      <w:pPr>
        <w:ind w:firstLine="420" w:firstLineChars="200"/>
        <w:rPr>
          <w:rFonts w:hint="eastAsia" w:ascii="仿宋" w:hAnsi="仿宋" w:eastAsia="仿宋"/>
          <w:szCs w:val="21"/>
        </w:rPr>
      </w:pPr>
      <w:r>
        <w:rPr>
          <w:rFonts w:ascii="仿宋" w:hAnsi="仿宋" w:eastAsia="仿宋"/>
          <w:szCs w:val="21"/>
        </w:rPr>
        <w:t>外汇衍生工具应转换为基础工具，并按基础工具的方法计算市场风险资本要求。</w:t>
      </w:r>
    </w:p>
    <w:p>
      <w:pPr>
        <w:ind w:firstLine="420" w:firstLineChars="200"/>
        <w:rPr>
          <w:rFonts w:hint="eastAsia" w:ascii="仿宋" w:hAnsi="仿宋" w:eastAsia="仿宋"/>
          <w:bCs/>
          <w:szCs w:val="21"/>
        </w:rPr>
      </w:pPr>
      <w:r>
        <w:rPr>
          <w:rFonts w:ascii="仿宋" w:hAnsi="仿宋" w:eastAsia="仿宋"/>
          <w:bCs/>
          <w:szCs w:val="21"/>
        </w:rPr>
        <w:t>五、商品风险</w:t>
      </w:r>
    </w:p>
    <w:p>
      <w:pPr>
        <w:ind w:firstLine="420" w:firstLineChars="200"/>
        <w:rPr>
          <w:rFonts w:hint="eastAsia" w:ascii="仿宋" w:hAnsi="仿宋" w:eastAsia="仿宋"/>
          <w:szCs w:val="21"/>
        </w:rPr>
      </w:pPr>
      <w:r>
        <w:rPr>
          <w:rFonts w:ascii="仿宋" w:hAnsi="仿宋" w:eastAsia="仿宋"/>
          <w:szCs w:val="21"/>
        </w:rPr>
        <w:t>适用于商品、商品远期、商品期货、商品互换。</w:t>
      </w:r>
    </w:p>
    <w:p>
      <w:pPr>
        <w:ind w:firstLine="420" w:firstLineChars="200"/>
        <w:rPr>
          <w:rFonts w:hint="eastAsia" w:ascii="仿宋" w:hAnsi="仿宋" w:eastAsia="仿宋"/>
          <w:szCs w:val="21"/>
        </w:rPr>
      </w:pPr>
      <w:r>
        <w:rPr>
          <w:rFonts w:ascii="仿宋" w:hAnsi="仿宋" w:eastAsia="仿宋"/>
          <w:szCs w:val="21"/>
        </w:rPr>
        <w:t>此处的商品是指可以在二级市场买卖的实物产品，如：贵金属（不包括黄金）、农产品和矿物（包括石油）等。</w:t>
      </w:r>
    </w:p>
    <w:p>
      <w:pPr>
        <w:ind w:firstLine="420" w:firstLineChars="200"/>
        <w:rPr>
          <w:rFonts w:hint="eastAsia" w:ascii="仿宋" w:hAnsi="仿宋" w:eastAsia="仿宋"/>
          <w:szCs w:val="21"/>
        </w:rPr>
      </w:pPr>
      <w:r>
        <w:rPr>
          <w:rFonts w:ascii="仿宋" w:hAnsi="仿宋" w:eastAsia="仿宋"/>
          <w:szCs w:val="21"/>
        </w:rPr>
        <w:t>（一）商品风险对应的资本要求等于以下两项之和：</w:t>
      </w:r>
    </w:p>
    <w:p>
      <w:pPr>
        <w:ind w:firstLine="420" w:firstLineChars="200"/>
        <w:rPr>
          <w:rFonts w:hint="eastAsia" w:ascii="仿宋" w:hAnsi="仿宋" w:eastAsia="仿宋"/>
          <w:szCs w:val="21"/>
        </w:rPr>
      </w:pPr>
      <w:r>
        <w:rPr>
          <w:rFonts w:ascii="仿宋" w:hAnsi="仿宋" w:eastAsia="仿宋"/>
          <w:szCs w:val="21"/>
        </w:rPr>
        <w:t>1．各项商品净头寸的绝对值之和乘以20</w:t>
      </w:r>
      <w:r>
        <w:rPr>
          <w:rFonts w:hint="eastAsia" w:ascii="仿宋" w:hAnsi="仿宋" w:eastAsia="仿宋"/>
          <w:szCs w:val="21"/>
        </w:rPr>
        <w:t>%</w:t>
      </w:r>
      <w:r>
        <w:rPr>
          <w:rFonts w:ascii="仿宋" w:hAnsi="仿宋" w:eastAsia="仿宋"/>
          <w:szCs w:val="21"/>
        </w:rPr>
        <w:t>。</w:t>
      </w:r>
    </w:p>
    <w:p>
      <w:pPr>
        <w:ind w:firstLine="420" w:firstLineChars="200"/>
        <w:rPr>
          <w:rFonts w:hint="eastAsia" w:ascii="仿宋" w:hAnsi="仿宋" w:eastAsia="仿宋"/>
          <w:szCs w:val="21"/>
        </w:rPr>
      </w:pPr>
      <w:r>
        <w:rPr>
          <w:rFonts w:ascii="仿宋" w:hAnsi="仿宋" w:eastAsia="仿宋"/>
          <w:szCs w:val="21"/>
        </w:rPr>
        <w:t>2．各项商品总头寸（多头头寸加上空头头寸的绝对值）之和乘以4</w:t>
      </w:r>
      <w:r>
        <w:rPr>
          <w:rFonts w:hint="eastAsia" w:ascii="仿宋" w:hAnsi="仿宋" w:eastAsia="仿宋"/>
          <w:szCs w:val="21"/>
        </w:rPr>
        <w:t>%</w:t>
      </w:r>
      <w:r>
        <w:rPr>
          <w:rFonts w:ascii="仿宋" w:hAnsi="仿宋" w:eastAsia="仿宋"/>
          <w:szCs w:val="21"/>
        </w:rPr>
        <w:t>。</w:t>
      </w:r>
    </w:p>
    <w:p>
      <w:pPr>
        <w:ind w:firstLine="420" w:firstLineChars="200"/>
        <w:rPr>
          <w:rFonts w:hint="eastAsia" w:ascii="仿宋" w:hAnsi="仿宋" w:eastAsia="仿宋"/>
          <w:szCs w:val="21"/>
        </w:rPr>
      </w:pPr>
      <w:r>
        <w:rPr>
          <w:rFonts w:ascii="仿宋" w:hAnsi="仿宋" w:eastAsia="仿宋"/>
          <w:szCs w:val="21"/>
        </w:rPr>
        <w:t>（二）商品衍生工具应转换为名义商品，并按上述方法计算资本要求。</w:t>
      </w:r>
    </w:p>
    <w:p>
      <w:pPr>
        <w:ind w:firstLine="420" w:firstLineChars="200"/>
        <w:rPr>
          <w:rFonts w:hint="eastAsia" w:ascii="仿宋" w:hAnsi="仿宋" w:eastAsia="仿宋"/>
          <w:bCs/>
          <w:szCs w:val="21"/>
        </w:rPr>
      </w:pPr>
      <w:r>
        <w:rPr>
          <w:rFonts w:ascii="仿宋" w:hAnsi="仿宋" w:eastAsia="仿宋"/>
          <w:bCs/>
          <w:szCs w:val="21"/>
        </w:rPr>
        <w:t>六、期权风险</w:t>
      </w:r>
    </w:p>
    <w:p>
      <w:pPr>
        <w:ind w:firstLine="420" w:firstLineChars="200"/>
        <w:rPr>
          <w:rFonts w:hint="eastAsia" w:ascii="仿宋" w:hAnsi="仿宋" w:eastAsia="仿宋"/>
          <w:szCs w:val="21"/>
        </w:rPr>
      </w:pPr>
      <w:r>
        <w:rPr>
          <w:rFonts w:ascii="仿宋" w:hAnsi="仿宋" w:eastAsia="仿宋"/>
          <w:szCs w:val="21"/>
        </w:rPr>
        <w:t>（一）仅购买期权的资产公司可以使用简易的计算方法。</w:t>
      </w:r>
    </w:p>
    <w:p>
      <w:pPr>
        <w:ind w:firstLine="420" w:firstLineChars="200"/>
        <w:rPr>
          <w:rFonts w:hint="eastAsia" w:ascii="仿宋" w:hAnsi="仿宋" w:eastAsia="仿宋"/>
          <w:szCs w:val="21"/>
        </w:rPr>
      </w:pPr>
      <w:r>
        <w:rPr>
          <w:rFonts w:ascii="仿宋" w:hAnsi="仿宋" w:eastAsia="仿宋"/>
          <w:szCs w:val="21"/>
        </w:rPr>
        <w:t>１．资产公司如持有现货多头和看跌期权多头，或持有现货空头和看涨期权多头, 资本要求等于期权合约对应的基础工具的市场价值乘以特定市场风险和一般市场风险资本要求比率之和，再减去期权溢价。资本要求最低为零。</w:t>
      </w:r>
    </w:p>
    <w:p>
      <w:pPr>
        <w:ind w:firstLine="420" w:firstLineChars="200"/>
        <w:rPr>
          <w:rFonts w:hint="eastAsia" w:ascii="仿宋" w:hAnsi="仿宋" w:eastAsia="仿宋"/>
          <w:szCs w:val="21"/>
        </w:rPr>
      </w:pPr>
      <w:r>
        <w:rPr>
          <w:rFonts w:ascii="仿宋" w:hAnsi="仿宋" w:eastAsia="仿宋"/>
          <w:szCs w:val="21"/>
        </w:rPr>
        <w:t>2．资产公司如持有看涨期权多头或看跌期权多头, 资本要求等于基础工具的市场价值乘以该基础工具的特定市场风险和一般市场风险资本要求比率之和与期权的市场价值两者中的较小者。</w:t>
      </w:r>
    </w:p>
    <w:p>
      <w:pPr>
        <w:ind w:firstLine="420" w:firstLineChars="200"/>
        <w:rPr>
          <w:rFonts w:hint="eastAsia" w:ascii="仿宋" w:hAnsi="仿宋" w:eastAsia="仿宋"/>
          <w:szCs w:val="21"/>
        </w:rPr>
      </w:pPr>
      <w:r>
        <w:rPr>
          <w:rFonts w:ascii="仿宋" w:hAnsi="仿宋" w:eastAsia="仿宋"/>
          <w:szCs w:val="21"/>
        </w:rPr>
        <w:t xml:space="preserve">（二）同时卖出期权的资产公司应使用得尔塔+ </w:t>
      </w:r>
      <w:r>
        <w:rPr>
          <w:rFonts w:hint="eastAsia" w:ascii="仿宋" w:hAnsi="仿宋" w:eastAsia="仿宋"/>
          <w:szCs w:val="21"/>
        </w:rPr>
        <w:t>（</w:t>
      </w:r>
      <w:r>
        <w:rPr>
          <w:rFonts w:ascii="仿宋" w:hAnsi="仿宋" w:eastAsia="仿宋"/>
          <w:szCs w:val="21"/>
        </w:rPr>
        <w:t>Delta-plus</w:t>
      </w:r>
      <w:r>
        <w:rPr>
          <w:rFonts w:hint="eastAsia" w:ascii="仿宋" w:hAnsi="仿宋" w:eastAsia="仿宋"/>
          <w:szCs w:val="21"/>
        </w:rPr>
        <w:t>）</w:t>
      </w:r>
      <w:r>
        <w:rPr>
          <w:rFonts w:ascii="仿宋" w:hAnsi="仿宋" w:eastAsia="仿宋"/>
          <w:szCs w:val="21"/>
        </w:rPr>
        <w:t>方法。</w:t>
      </w:r>
    </w:p>
    <w:p>
      <w:pPr>
        <w:ind w:firstLine="420" w:firstLineChars="200"/>
        <w:rPr>
          <w:rFonts w:hint="eastAsia" w:ascii="仿宋" w:hAnsi="仿宋" w:eastAsia="仿宋"/>
          <w:szCs w:val="21"/>
        </w:rPr>
      </w:pPr>
      <w:r>
        <w:rPr>
          <w:rFonts w:ascii="仿宋" w:hAnsi="仿宋" w:eastAsia="仿宋"/>
          <w:szCs w:val="21"/>
        </w:rPr>
        <w:t>得尔塔+方法计算的资本要求由以下三部分组成：</w:t>
      </w:r>
    </w:p>
    <w:p>
      <w:pPr>
        <w:ind w:firstLine="420" w:firstLineChars="200"/>
        <w:rPr>
          <w:rFonts w:hint="eastAsia" w:ascii="仿宋" w:hAnsi="仿宋" w:eastAsia="仿宋"/>
          <w:szCs w:val="21"/>
        </w:rPr>
      </w:pPr>
      <w:r>
        <w:rPr>
          <w:rFonts w:ascii="仿宋" w:hAnsi="仿宋" w:eastAsia="仿宋"/>
          <w:szCs w:val="21"/>
        </w:rPr>
        <w:t>１．期权基础工具的市值乘以该期权的得尔塔值得到得尔塔加权期权头寸，然后将得尔塔加权头寸加入到基础工具的头寸中计算资本要求。</w:t>
      </w:r>
    </w:p>
    <w:p>
      <w:pPr>
        <w:tabs>
          <w:tab w:val="left" w:pos="720"/>
          <w:tab w:val="left" w:pos="900"/>
          <w:tab w:val="left" w:pos="1080"/>
        </w:tabs>
        <w:ind w:firstLine="420" w:firstLineChars="200"/>
        <w:rPr>
          <w:rFonts w:hint="eastAsia" w:ascii="仿宋" w:hAnsi="仿宋" w:eastAsia="仿宋"/>
          <w:szCs w:val="21"/>
        </w:rPr>
      </w:pPr>
      <w:r>
        <w:rPr>
          <w:rFonts w:ascii="仿宋" w:hAnsi="仿宋" w:eastAsia="仿宋"/>
          <w:szCs w:val="21"/>
        </w:rPr>
        <w:t>2．伽马</w:t>
      </w:r>
      <w:r>
        <w:rPr>
          <w:rFonts w:hint="eastAsia" w:ascii="仿宋" w:hAnsi="仿宋" w:eastAsia="仿宋"/>
          <w:szCs w:val="21"/>
        </w:rPr>
        <w:t>（</w:t>
      </w:r>
      <w:r>
        <w:rPr>
          <w:rFonts w:ascii="仿宋" w:hAnsi="仿宋" w:eastAsia="仿宋"/>
          <w:szCs w:val="21"/>
        </w:rPr>
        <w:t>Gamma</w:t>
      </w:r>
      <w:r>
        <w:rPr>
          <w:rFonts w:hint="eastAsia" w:ascii="仿宋" w:hAnsi="仿宋" w:eastAsia="仿宋"/>
          <w:szCs w:val="21"/>
        </w:rPr>
        <w:t>）</w:t>
      </w:r>
      <w:r>
        <w:rPr>
          <w:rFonts w:ascii="仿宋" w:hAnsi="仿宋" w:eastAsia="仿宋"/>
          <w:szCs w:val="21"/>
        </w:rPr>
        <w:t>风险的资本要求。</w:t>
      </w:r>
    </w:p>
    <w:p>
      <w:pPr>
        <w:ind w:firstLine="420" w:firstLineChars="200"/>
        <w:rPr>
          <w:rFonts w:hint="eastAsia" w:ascii="仿宋" w:hAnsi="仿宋" w:eastAsia="仿宋"/>
          <w:szCs w:val="21"/>
        </w:rPr>
      </w:pPr>
      <w:r>
        <w:rPr>
          <w:rFonts w:ascii="仿宋" w:hAnsi="仿宋" w:eastAsia="仿宋"/>
          <w:szCs w:val="21"/>
        </w:rPr>
        <w:t>伽马效应值＝0.5×Gamma×(VU)</w:t>
      </w:r>
      <w:r>
        <w:rPr>
          <w:rFonts w:ascii="仿宋" w:hAnsi="仿宋" w:eastAsia="仿宋"/>
          <w:szCs w:val="21"/>
          <w:vertAlign w:val="superscript"/>
        </w:rPr>
        <w:t>2</w:t>
      </w:r>
      <w:r>
        <w:rPr>
          <w:rFonts w:ascii="仿宋" w:hAnsi="仿宋" w:eastAsia="仿宋"/>
          <w:szCs w:val="21"/>
        </w:rPr>
        <w:t xml:space="preserve"> </w:t>
      </w:r>
    </w:p>
    <w:p>
      <w:pPr>
        <w:ind w:firstLine="420" w:firstLineChars="200"/>
        <w:rPr>
          <w:rFonts w:hint="eastAsia" w:ascii="仿宋" w:hAnsi="仿宋" w:eastAsia="仿宋"/>
          <w:szCs w:val="21"/>
        </w:rPr>
      </w:pPr>
      <w:r>
        <w:rPr>
          <w:rFonts w:ascii="仿宋" w:hAnsi="仿宋" w:eastAsia="仿宋"/>
          <w:szCs w:val="21"/>
        </w:rPr>
        <w:t>VU为期权基础工具的变动。</w:t>
      </w:r>
    </w:p>
    <w:p>
      <w:pPr>
        <w:ind w:firstLine="420" w:firstLineChars="200"/>
        <w:rPr>
          <w:rFonts w:hint="eastAsia" w:ascii="仿宋" w:hAnsi="仿宋" w:eastAsia="仿宋"/>
          <w:szCs w:val="21"/>
        </w:rPr>
      </w:pPr>
      <w:r>
        <w:rPr>
          <w:rFonts w:ascii="仿宋" w:hAnsi="仿宋" w:eastAsia="仿宋"/>
          <w:szCs w:val="21"/>
        </w:rPr>
        <w:t>其中：</w:t>
      </w:r>
    </w:p>
    <w:p>
      <w:pPr>
        <w:ind w:firstLine="420" w:firstLineChars="200"/>
        <w:rPr>
          <w:rFonts w:hint="eastAsia" w:ascii="仿宋" w:hAnsi="仿宋" w:eastAsia="仿宋"/>
          <w:szCs w:val="21"/>
        </w:rPr>
      </w:pPr>
      <w:r>
        <w:rPr>
          <w:rFonts w:ascii="仿宋" w:hAnsi="仿宋" w:eastAsia="仿宋"/>
          <w:szCs w:val="21"/>
        </w:rPr>
        <w:t>（1）对于利率期权，当基础工具为债券时：VU＝基础工具市值×表1中相应时段的风险权重。</w:t>
      </w:r>
    </w:p>
    <w:p>
      <w:pPr>
        <w:ind w:firstLine="420" w:firstLineChars="200"/>
        <w:rPr>
          <w:rFonts w:hint="eastAsia" w:ascii="仿宋" w:hAnsi="仿宋" w:eastAsia="仿宋"/>
          <w:szCs w:val="21"/>
        </w:rPr>
      </w:pPr>
      <w:r>
        <w:rPr>
          <w:rFonts w:ascii="仿宋" w:hAnsi="仿宋" w:eastAsia="仿宋"/>
          <w:szCs w:val="21"/>
        </w:rPr>
        <w:t>（2）当基础工具为利率时：VU=基础工具市值×表1中相应时段的假定收益率变化。</w:t>
      </w:r>
    </w:p>
    <w:p>
      <w:pPr>
        <w:ind w:firstLine="420" w:firstLineChars="200"/>
        <w:rPr>
          <w:rFonts w:hint="eastAsia" w:ascii="仿宋" w:hAnsi="仿宋" w:eastAsia="仿宋"/>
          <w:szCs w:val="21"/>
        </w:rPr>
      </w:pPr>
      <w:r>
        <w:rPr>
          <w:rFonts w:ascii="仿宋" w:hAnsi="仿宋" w:eastAsia="仿宋"/>
          <w:szCs w:val="21"/>
        </w:rPr>
        <w:t>（3）当基础工具为股票、股指、外汇与黄金时：VU=基础工具市值×8</w:t>
      </w:r>
      <w:r>
        <w:rPr>
          <w:rFonts w:hint="eastAsia" w:ascii="仿宋" w:hAnsi="仿宋" w:eastAsia="仿宋"/>
          <w:szCs w:val="21"/>
        </w:rPr>
        <w:t>%</w:t>
      </w:r>
      <w:r>
        <w:rPr>
          <w:rFonts w:ascii="仿宋" w:hAnsi="仿宋" w:eastAsia="仿宋"/>
          <w:szCs w:val="21"/>
        </w:rPr>
        <w:t>。</w:t>
      </w:r>
    </w:p>
    <w:p>
      <w:pPr>
        <w:ind w:firstLine="420" w:firstLineChars="200"/>
        <w:rPr>
          <w:rFonts w:hint="eastAsia" w:ascii="仿宋" w:hAnsi="仿宋" w:eastAsia="仿宋"/>
          <w:szCs w:val="21"/>
        </w:rPr>
      </w:pPr>
      <w:r>
        <w:rPr>
          <w:rFonts w:ascii="仿宋" w:hAnsi="仿宋" w:eastAsia="仿宋"/>
          <w:szCs w:val="21"/>
        </w:rPr>
        <w:t>（4）当基础工具为商品时：VU=基础工具市值×15</w:t>
      </w:r>
      <w:r>
        <w:rPr>
          <w:rFonts w:hint="eastAsia" w:ascii="仿宋" w:hAnsi="仿宋" w:eastAsia="仿宋"/>
          <w:szCs w:val="21"/>
        </w:rPr>
        <w:t>%</w:t>
      </w:r>
      <w:r>
        <w:rPr>
          <w:rFonts w:ascii="仿宋" w:hAnsi="仿宋" w:eastAsia="仿宋"/>
          <w:szCs w:val="21"/>
        </w:rPr>
        <w:t>。</w:t>
      </w:r>
    </w:p>
    <w:p>
      <w:pPr>
        <w:tabs>
          <w:tab w:val="left" w:pos="900"/>
        </w:tabs>
        <w:ind w:firstLine="420" w:firstLineChars="200"/>
        <w:rPr>
          <w:rFonts w:hint="eastAsia" w:ascii="仿宋" w:hAnsi="仿宋" w:eastAsia="仿宋"/>
          <w:szCs w:val="21"/>
        </w:rPr>
      </w:pPr>
      <w:r>
        <w:rPr>
          <w:rFonts w:ascii="仿宋" w:hAnsi="仿宋" w:eastAsia="仿宋"/>
          <w:szCs w:val="21"/>
        </w:rPr>
        <w:t>同一基础工具每项期权对应的伽马效应值相加得出每一基础工具的净伽马效应值。仅当基础工具的净伽马效应值为负值时，才须计算相应的资本要求，且资本要求总额等于这些净伽马效应值之和的绝对值。</w:t>
      </w:r>
    </w:p>
    <w:p>
      <w:pPr>
        <w:tabs>
          <w:tab w:val="left" w:pos="360"/>
          <w:tab w:val="left" w:pos="540"/>
          <w:tab w:val="left" w:pos="720"/>
        </w:tabs>
        <w:ind w:firstLine="420" w:firstLineChars="200"/>
        <w:rPr>
          <w:rFonts w:hint="eastAsia" w:ascii="仿宋" w:hAnsi="仿宋" w:eastAsia="仿宋"/>
          <w:szCs w:val="21"/>
        </w:rPr>
      </w:pPr>
      <w:r>
        <w:rPr>
          <w:rFonts w:ascii="仿宋" w:hAnsi="仿宋" w:eastAsia="仿宋"/>
          <w:szCs w:val="21"/>
        </w:rPr>
        <w:t>3．维加</w:t>
      </w:r>
      <w:r>
        <w:rPr>
          <w:rFonts w:hint="eastAsia" w:ascii="仿宋" w:hAnsi="仿宋" w:eastAsia="仿宋"/>
          <w:szCs w:val="21"/>
        </w:rPr>
        <w:t>（</w:t>
      </w:r>
      <w:r>
        <w:rPr>
          <w:rFonts w:ascii="仿宋" w:hAnsi="仿宋" w:eastAsia="仿宋"/>
          <w:szCs w:val="21"/>
        </w:rPr>
        <w:t>vega</w:t>
      </w:r>
      <w:r>
        <w:rPr>
          <w:rFonts w:hint="eastAsia" w:ascii="仿宋" w:hAnsi="仿宋" w:eastAsia="仿宋"/>
          <w:szCs w:val="21"/>
        </w:rPr>
        <w:t>）</w:t>
      </w:r>
      <w:r>
        <w:rPr>
          <w:rFonts w:ascii="仿宋" w:hAnsi="仿宋" w:eastAsia="仿宋"/>
          <w:szCs w:val="21"/>
        </w:rPr>
        <w:t>风险的资本要求。</w:t>
      </w:r>
    </w:p>
    <w:p>
      <w:pPr>
        <w:tabs>
          <w:tab w:val="left" w:pos="720"/>
        </w:tabs>
        <w:ind w:firstLine="420" w:firstLineChars="200"/>
        <w:rPr>
          <w:rFonts w:hint="eastAsia" w:ascii="仿宋" w:hAnsi="仿宋" w:eastAsia="仿宋"/>
          <w:szCs w:val="21"/>
        </w:rPr>
      </w:pPr>
      <w:r>
        <w:rPr>
          <w:rFonts w:ascii="仿宋" w:hAnsi="仿宋" w:eastAsia="仿宋"/>
          <w:szCs w:val="21"/>
        </w:rPr>
        <w:t>基础工具维加风险的资本要求</w:t>
      </w:r>
    </w:p>
    <w:p>
      <w:pPr>
        <w:ind w:firstLine="420" w:firstLineChars="200"/>
        <w:rPr>
          <w:rFonts w:hint="eastAsia" w:ascii="仿宋" w:hAnsi="仿宋" w:eastAsia="仿宋"/>
          <w:szCs w:val="21"/>
        </w:rPr>
      </w:pPr>
      <w:r>
        <w:rPr>
          <w:rFonts w:ascii="仿宋" w:hAnsi="仿宋" w:eastAsia="仿宋"/>
          <w:szCs w:val="21"/>
        </w:rPr>
        <w:t>＝25</w:t>
      </w:r>
      <w:r>
        <w:rPr>
          <w:rFonts w:hint="eastAsia" w:ascii="仿宋" w:hAnsi="仿宋" w:eastAsia="仿宋"/>
          <w:szCs w:val="21"/>
        </w:rPr>
        <w:t>%</w:t>
      </w:r>
      <w:r>
        <w:rPr>
          <w:rFonts w:ascii="仿宋" w:hAnsi="仿宋" w:eastAsia="仿宋"/>
          <w:szCs w:val="21"/>
        </w:rPr>
        <w:t>×该基础工具波动率×|该基础工具的各项期权的维加值之和|</w:t>
      </w:r>
    </w:p>
    <w:p>
      <w:pPr>
        <w:ind w:firstLine="420" w:firstLineChars="200"/>
        <w:rPr>
          <w:rFonts w:hint="eastAsia" w:ascii="仿宋" w:hAnsi="仿宋" w:eastAsia="仿宋"/>
          <w:szCs w:val="21"/>
        </w:rPr>
      </w:pPr>
      <w:r>
        <w:rPr>
          <w:rFonts w:ascii="仿宋" w:hAnsi="仿宋" w:eastAsia="仿宋"/>
          <w:szCs w:val="21"/>
        </w:rPr>
        <w:t>维加风险的资本要求总额，等于各项基础工具维加风险的资本要求之和。</w:t>
      </w:r>
    </w:p>
    <w:p>
      <w:pPr>
        <w:ind w:firstLine="420" w:firstLineChars="200"/>
        <w:rPr>
          <w:rFonts w:hint="eastAsia" w:ascii="仿宋" w:hAnsi="仿宋" w:eastAsia="仿宋"/>
          <w:bCs/>
          <w:szCs w:val="21"/>
        </w:rPr>
      </w:pPr>
      <w:r>
        <w:rPr>
          <w:rFonts w:ascii="仿宋" w:hAnsi="仿宋" w:eastAsia="仿宋"/>
          <w:bCs/>
          <w:szCs w:val="21"/>
        </w:rPr>
        <w:t>七、交易</w:t>
      </w:r>
      <w:r>
        <w:rPr>
          <w:rFonts w:hint="eastAsia" w:ascii="仿宋" w:hAnsi="仿宋" w:eastAsia="仿宋"/>
          <w:bCs/>
          <w:szCs w:val="21"/>
        </w:rPr>
        <w:t>账簿</w:t>
      </w:r>
      <w:r>
        <w:rPr>
          <w:rFonts w:ascii="仿宋" w:hAnsi="仿宋" w:eastAsia="仿宋"/>
          <w:bCs/>
          <w:szCs w:val="21"/>
        </w:rPr>
        <w:t>信用衍生产品</w:t>
      </w:r>
    </w:p>
    <w:p>
      <w:pPr>
        <w:ind w:firstLine="420" w:firstLineChars="200"/>
        <w:rPr>
          <w:rFonts w:hint="eastAsia" w:ascii="仿宋" w:hAnsi="仿宋" w:eastAsia="仿宋"/>
          <w:szCs w:val="21"/>
        </w:rPr>
      </w:pPr>
      <w:r>
        <w:rPr>
          <w:rFonts w:ascii="仿宋" w:hAnsi="仿宋" w:eastAsia="仿宋"/>
          <w:szCs w:val="21"/>
        </w:rPr>
        <w:t>资产公司应将交易</w:t>
      </w:r>
      <w:r>
        <w:rPr>
          <w:rFonts w:hint="eastAsia" w:ascii="仿宋" w:hAnsi="仿宋" w:eastAsia="仿宋"/>
          <w:szCs w:val="21"/>
        </w:rPr>
        <w:t>账簿</w:t>
      </w:r>
      <w:r>
        <w:rPr>
          <w:rFonts w:ascii="仿宋" w:hAnsi="仿宋" w:eastAsia="仿宋"/>
          <w:szCs w:val="21"/>
        </w:rPr>
        <w:t>信用衍生产品转换为相关信用参考实体的本金头寸，并使用其当前市值计算利率风险的市场风险资本要求。</w:t>
      </w:r>
    </w:p>
    <w:p>
      <w:pPr>
        <w:ind w:firstLine="420" w:firstLineChars="200"/>
        <w:rPr>
          <w:rFonts w:hint="eastAsia" w:ascii="仿宋" w:hAnsi="仿宋" w:eastAsia="仿宋"/>
          <w:szCs w:val="21"/>
        </w:rPr>
      </w:pPr>
    </w:p>
    <w:p>
      <w:pPr>
        <w:jc w:val="center"/>
        <w:rPr>
          <w:rFonts w:hint="eastAsia" w:ascii="仿宋" w:hAnsi="仿宋" w:eastAsia="仿宋"/>
          <w:bCs/>
          <w:szCs w:val="21"/>
        </w:rPr>
      </w:pPr>
      <w:r>
        <w:rPr>
          <w:rFonts w:ascii="仿宋" w:hAnsi="仿宋" w:eastAsia="仿宋"/>
          <w:bCs/>
          <w:szCs w:val="21"/>
        </w:rPr>
        <w:t>表5：交易</w:t>
      </w:r>
      <w:r>
        <w:rPr>
          <w:rFonts w:hint="eastAsia" w:ascii="仿宋" w:hAnsi="仿宋" w:eastAsia="仿宋"/>
          <w:bCs/>
          <w:szCs w:val="21"/>
        </w:rPr>
        <w:t>账簿</w:t>
      </w:r>
      <w:r>
        <w:rPr>
          <w:rFonts w:ascii="仿宋" w:hAnsi="仿宋" w:eastAsia="仿宋"/>
          <w:bCs/>
          <w:szCs w:val="21"/>
        </w:rPr>
        <w:t>信用衍生产品转换规则</w:t>
      </w:r>
    </w:p>
    <w:tbl>
      <w:tblPr>
        <w:tblStyle w:val="42"/>
        <w:tblW w:w="8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8"/>
        <w:gridCol w:w="1034"/>
        <w:gridCol w:w="3176"/>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blHeader/>
          <w:jc w:val="center"/>
        </w:trPr>
        <w:tc>
          <w:tcPr>
            <w:tcW w:w="2412" w:type="dxa"/>
            <w:gridSpan w:val="2"/>
            <w:vAlign w:val="center"/>
          </w:tcPr>
          <w:p>
            <w:pPr>
              <w:ind w:firstLine="422" w:firstLineChars="200"/>
              <w:jc w:val="center"/>
              <w:rPr>
                <w:rFonts w:hint="eastAsia" w:ascii="仿宋" w:hAnsi="仿宋" w:eastAsia="仿宋"/>
                <w:b/>
                <w:szCs w:val="21"/>
              </w:rPr>
            </w:pPr>
          </w:p>
        </w:tc>
        <w:tc>
          <w:tcPr>
            <w:tcW w:w="3176" w:type="dxa"/>
            <w:vAlign w:val="center"/>
          </w:tcPr>
          <w:p>
            <w:pPr>
              <w:jc w:val="center"/>
              <w:rPr>
                <w:rFonts w:hint="eastAsia" w:ascii="仿宋" w:hAnsi="仿宋" w:eastAsia="仿宋"/>
                <w:bCs/>
                <w:szCs w:val="21"/>
              </w:rPr>
            </w:pPr>
            <w:r>
              <w:rPr>
                <w:rFonts w:hint="eastAsia" w:ascii="仿宋" w:hAnsi="仿宋" w:eastAsia="仿宋"/>
                <w:bCs/>
                <w:szCs w:val="21"/>
              </w:rPr>
              <w:t>多头/ 信用保护卖方</w:t>
            </w:r>
          </w:p>
        </w:tc>
        <w:tc>
          <w:tcPr>
            <w:tcW w:w="3132" w:type="dxa"/>
            <w:vAlign w:val="center"/>
          </w:tcPr>
          <w:p>
            <w:pPr>
              <w:jc w:val="center"/>
              <w:rPr>
                <w:rFonts w:hint="eastAsia" w:ascii="仿宋" w:hAnsi="仿宋" w:eastAsia="仿宋"/>
                <w:bCs/>
                <w:szCs w:val="21"/>
              </w:rPr>
            </w:pPr>
            <w:r>
              <w:rPr>
                <w:rFonts w:hint="eastAsia" w:ascii="仿宋" w:hAnsi="仿宋" w:eastAsia="仿宋"/>
                <w:bCs/>
                <w:szCs w:val="21"/>
              </w:rPr>
              <w:t>空头/ 信用保护买方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restart"/>
            <w:vAlign w:val="center"/>
          </w:tcPr>
          <w:p>
            <w:pPr>
              <w:jc w:val="center"/>
              <w:rPr>
                <w:rFonts w:hint="eastAsia" w:ascii="仿宋" w:hAnsi="仿宋" w:eastAsia="仿宋"/>
                <w:szCs w:val="21"/>
              </w:rPr>
            </w:pPr>
            <w:r>
              <w:rPr>
                <w:rFonts w:hint="eastAsia" w:ascii="仿宋" w:hAnsi="仿宋" w:eastAsia="仿宋"/>
                <w:szCs w:val="21"/>
              </w:rPr>
              <w:t>信用违约互换</w:t>
            </w:r>
          </w:p>
        </w:tc>
        <w:tc>
          <w:tcPr>
            <w:tcW w:w="1034" w:type="dxa"/>
            <w:vAlign w:val="center"/>
          </w:tcPr>
          <w:p>
            <w:pPr>
              <w:jc w:val="center"/>
              <w:rPr>
                <w:rFonts w:hint="eastAsia" w:ascii="仿宋" w:hAnsi="仿宋" w:eastAsia="仿宋"/>
                <w:szCs w:val="21"/>
              </w:rPr>
            </w:pPr>
            <w:r>
              <w:rPr>
                <w:rFonts w:hint="eastAsia" w:ascii="仿宋" w:hAnsi="仿宋" w:eastAsia="仿宋"/>
                <w:szCs w:val="21"/>
              </w:rPr>
              <w:t>一般市场风险</w:t>
            </w:r>
          </w:p>
        </w:tc>
        <w:tc>
          <w:tcPr>
            <w:tcW w:w="3176" w:type="dxa"/>
            <w:vAlign w:val="center"/>
          </w:tcPr>
          <w:p>
            <w:pPr>
              <w:rPr>
                <w:rFonts w:hint="eastAsia" w:ascii="仿宋" w:hAnsi="仿宋" w:eastAsia="仿宋"/>
                <w:szCs w:val="21"/>
              </w:rPr>
            </w:pPr>
            <w:r>
              <w:rPr>
                <w:rFonts w:hint="eastAsia" w:ascii="仿宋" w:hAnsi="仿宋" w:eastAsia="仿宋"/>
                <w:szCs w:val="21"/>
              </w:rPr>
              <w:t>如有任何费用或利息的支付，则视为持有无特定市场风险债券多头</w:t>
            </w:r>
          </w:p>
        </w:tc>
        <w:tc>
          <w:tcPr>
            <w:tcW w:w="3132" w:type="dxa"/>
            <w:vAlign w:val="center"/>
          </w:tcPr>
          <w:p>
            <w:pPr>
              <w:rPr>
                <w:rFonts w:hint="eastAsia" w:ascii="仿宋" w:hAnsi="仿宋" w:eastAsia="仿宋"/>
                <w:szCs w:val="21"/>
              </w:rPr>
            </w:pPr>
            <w:r>
              <w:rPr>
                <w:rFonts w:hint="eastAsia" w:ascii="仿宋" w:hAnsi="仿宋" w:eastAsia="仿宋"/>
                <w:szCs w:val="21"/>
              </w:rPr>
              <w:t>如有任何费用或利息的支付，则视为卖出无特定市场风险债券空头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continue"/>
            <w:vAlign w:val="center"/>
          </w:tcPr>
          <w:p>
            <w:pPr>
              <w:ind w:firstLine="420" w:firstLineChars="200"/>
              <w:jc w:val="center"/>
              <w:rPr>
                <w:rFonts w:hint="eastAsia" w:ascii="仿宋" w:hAnsi="仿宋" w:eastAsia="仿宋"/>
                <w:szCs w:val="21"/>
              </w:rPr>
            </w:pPr>
          </w:p>
        </w:tc>
        <w:tc>
          <w:tcPr>
            <w:tcW w:w="1034" w:type="dxa"/>
            <w:vAlign w:val="center"/>
          </w:tcPr>
          <w:p>
            <w:pPr>
              <w:jc w:val="center"/>
              <w:rPr>
                <w:rFonts w:hint="eastAsia" w:ascii="仿宋" w:hAnsi="仿宋" w:eastAsia="仿宋"/>
                <w:szCs w:val="21"/>
              </w:rPr>
            </w:pPr>
            <w:r>
              <w:rPr>
                <w:rFonts w:hint="eastAsia" w:ascii="仿宋" w:hAnsi="仿宋" w:eastAsia="仿宋"/>
                <w:szCs w:val="21"/>
              </w:rPr>
              <w:t>特定市场风险</w:t>
            </w:r>
          </w:p>
        </w:tc>
        <w:tc>
          <w:tcPr>
            <w:tcW w:w="3176" w:type="dxa"/>
            <w:vAlign w:val="center"/>
          </w:tcPr>
          <w:p>
            <w:pPr>
              <w:rPr>
                <w:rFonts w:hint="eastAsia" w:ascii="仿宋" w:hAnsi="仿宋" w:eastAsia="仿宋"/>
                <w:szCs w:val="21"/>
              </w:rPr>
            </w:pPr>
            <w:r>
              <w:rPr>
                <w:rFonts w:hint="eastAsia" w:ascii="仿宋" w:hAnsi="仿宋" w:eastAsia="仿宋"/>
                <w:szCs w:val="21"/>
              </w:rPr>
              <w:t>视为持有信用参考实体多头，如为合格证券的情况，则视为持有互换风险暴露</w:t>
            </w:r>
          </w:p>
        </w:tc>
        <w:tc>
          <w:tcPr>
            <w:tcW w:w="3132" w:type="dxa"/>
            <w:vAlign w:val="center"/>
          </w:tcPr>
          <w:p>
            <w:pPr>
              <w:rPr>
                <w:rFonts w:hint="eastAsia" w:ascii="仿宋" w:hAnsi="仿宋" w:eastAsia="仿宋"/>
                <w:szCs w:val="21"/>
              </w:rPr>
            </w:pPr>
            <w:r>
              <w:rPr>
                <w:rFonts w:hint="eastAsia" w:ascii="仿宋" w:hAnsi="仿宋" w:eastAsia="仿宋"/>
                <w:szCs w:val="21"/>
              </w:rPr>
              <w:t>视为持有信用参考实体空头，如为合格证券的情况，则视为卖出互换空头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restart"/>
            <w:vAlign w:val="center"/>
          </w:tcPr>
          <w:p>
            <w:pPr>
              <w:jc w:val="center"/>
              <w:rPr>
                <w:rFonts w:hint="eastAsia" w:ascii="仿宋" w:hAnsi="仿宋" w:eastAsia="仿宋"/>
                <w:szCs w:val="21"/>
              </w:rPr>
            </w:pPr>
            <w:r>
              <w:rPr>
                <w:rFonts w:hint="eastAsia" w:ascii="仿宋" w:hAnsi="仿宋" w:eastAsia="仿宋"/>
                <w:szCs w:val="21"/>
              </w:rPr>
              <w:t>总收益互换</w:t>
            </w:r>
          </w:p>
        </w:tc>
        <w:tc>
          <w:tcPr>
            <w:tcW w:w="1034" w:type="dxa"/>
            <w:vAlign w:val="center"/>
          </w:tcPr>
          <w:p>
            <w:pPr>
              <w:jc w:val="center"/>
              <w:rPr>
                <w:rFonts w:hint="eastAsia" w:ascii="仿宋" w:hAnsi="仿宋" w:eastAsia="仿宋"/>
                <w:szCs w:val="21"/>
              </w:rPr>
            </w:pPr>
            <w:r>
              <w:rPr>
                <w:rFonts w:hint="eastAsia" w:ascii="仿宋" w:hAnsi="仿宋" w:eastAsia="仿宋"/>
                <w:szCs w:val="21"/>
              </w:rPr>
              <w:t>一般市场风险</w:t>
            </w:r>
          </w:p>
        </w:tc>
        <w:tc>
          <w:tcPr>
            <w:tcW w:w="3176" w:type="dxa"/>
            <w:vAlign w:val="center"/>
          </w:tcPr>
          <w:p>
            <w:pPr>
              <w:rPr>
                <w:rFonts w:hint="eastAsia" w:ascii="仿宋" w:hAnsi="仿宋" w:eastAsia="仿宋"/>
                <w:szCs w:val="21"/>
              </w:rPr>
            </w:pPr>
            <w:r>
              <w:rPr>
                <w:rFonts w:hint="eastAsia" w:ascii="仿宋" w:hAnsi="仿宋" w:eastAsia="仿宋"/>
                <w:szCs w:val="21"/>
              </w:rPr>
              <w:t>如有任何费用或利息的支付，则视为持有信用参考实体多头，及卖出无特定市场风险债券空头</w:t>
            </w:r>
          </w:p>
        </w:tc>
        <w:tc>
          <w:tcPr>
            <w:tcW w:w="3132" w:type="dxa"/>
            <w:vAlign w:val="center"/>
          </w:tcPr>
          <w:p>
            <w:pPr>
              <w:rPr>
                <w:rFonts w:hint="eastAsia" w:ascii="仿宋" w:hAnsi="仿宋" w:eastAsia="仿宋"/>
                <w:szCs w:val="21"/>
              </w:rPr>
            </w:pPr>
            <w:r>
              <w:rPr>
                <w:rFonts w:hint="eastAsia" w:ascii="仿宋" w:hAnsi="仿宋" w:eastAsia="仿宋"/>
                <w:szCs w:val="21"/>
              </w:rPr>
              <w:t>如有任何费用或利息的支付，则视为卖出信用参考实体，及持有无特定市场风险债券多头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continue"/>
            <w:vAlign w:val="center"/>
          </w:tcPr>
          <w:p>
            <w:pPr>
              <w:ind w:firstLine="420" w:firstLineChars="200"/>
              <w:jc w:val="center"/>
              <w:rPr>
                <w:rFonts w:hint="eastAsia" w:ascii="仿宋" w:hAnsi="仿宋" w:eastAsia="仿宋"/>
                <w:szCs w:val="21"/>
              </w:rPr>
            </w:pPr>
          </w:p>
        </w:tc>
        <w:tc>
          <w:tcPr>
            <w:tcW w:w="1034" w:type="dxa"/>
            <w:vAlign w:val="center"/>
          </w:tcPr>
          <w:p>
            <w:pPr>
              <w:jc w:val="center"/>
              <w:rPr>
                <w:rFonts w:hint="eastAsia" w:ascii="仿宋" w:hAnsi="仿宋" w:eastAsia="仿宋"/>
                <w:szCs w:val="21"/>
              </w:rPr>
            </w:pPr>
            <w:r>
              <w:rPr>
                <w:rFonts w:hint="eastAsia" w:ascii="仿宋" w:hAnsi="仿宋" w:eastAsia="仿宋"/>
                <w:szCs w:val="21"/>
              </w:rPr>
              <w:t>特定市场风险</w:t>
            </w:r>
          </w:p>
        </w:tc>
        <w:tc>
          <w:tcPr>
            <w:tcW w:w="3176" w:type="dxa"/>
            <w:vAlign w:val="center"/>
          </w:tcPr>
          <w:p>
            <w:pPr>
              <w:rPr>
                <w:rFonts w:hint="eastAsia" w:ascii="仿宋" w:hAnsi="仿宋" w:eastAsia="仿宋"/>
                <w:szCs w:val="21"/>
              </w:rPr>
            </w:pPr>
            <w:r>
              <w:rPr>
                <w:rFonts w:hint="eastAsia" w:ascii="仿宋" w:hAnsi="仿宋" w:eastAsia="仿宋"/>
                <w:szCs w:val="21"/>
              </w:rPr>
              <w:t>视为持有信用参考实体多头</w:t>
            </w:r>
          </w:p>
        </w:tc>
        <w:tc>
          <w:tcPr>
            <w:tcW w:w="3132" w:type="dxa"/>
            <w:vAlign w:val="center"/>
          </w:tcPr>
          <w:p>
            <w:pPr>
              <w:rPr>
                <w:rFonts w:hint="eastAsia" w:ascii="仿宋" w:hAnsi="仿宋" w:eastAsia="仿宋"/>
                <w:szCs w:val="21"/>
              </w:rPr>
            </w:pPr>
            <w:r>
              <w:rPr>
                <w:rFonts w:hint="eastAsia" w:ascii="仿宋" w:hAnsi="仿宋" w:eastAsia="仿宋"/>
                <w:szCs w:val="21"/>
              </w:rPr>
              <w:t>视为卖出信用参考实体空头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restart"/>
            <w:vAlign w:val="center"/>
          </w:tcPr>
          <w:p>
            <w:pPr>
              <w:jc w:val="center"/>
              <w:rPr>
                <w:rFonts w:hint="eastAsia" w:ascii="仿宋" w:hAnsi="仿宋" w:eastAsia="仿宋"/>
                <w:szCs w:val="21"/>
              </w:rPr>
            </w:pPr>
            <w:r>
              <w:rPr>
                <w:rFonts w:hint="eastAsia" w:ascii="仿宋" w:hAnsi="仿宋" w:eastAsia="仿宋"/>
                <w:szCs w:val="21"/>
              </w:rPr>
              <w:t>信用联系票据</w:t>
            </w:r>
          </w:p>
        </w:tc>
        <w:tc>
          <w:tcPr>
            <w:tcW w:w="1034" w:type="dxa"/>
            <w:vAlign w:val="center"/>
          </w:tcPr>
          <w:p>
            <w:pPr>
              <w:jc w:val="center"/>
              <w:rPr>
                <w:rFonts w:hint="eastAsia" w:ascii="仿宋" w:hAnsi="仿宋" w:eastAsia="仿宋"/>
                <w:szCs w:val="21"/>
              </w:rPr>
            </w:pPr>
            <w:r>
              <w:rPr>
                <w:rFonts w:hint="eastAsia" w:ascii="仿宋" w:hAnsi="仿宋" w:eastAsia="仿宋"/>
                <w:szCs w:val="21"/>
              </w:rPr>
              <w:t>一般市场风险</w:t>
            </w:r>
          </w:p>
        </w:tc>
        <w:tc>
          <w:tcPr>
            <w:tcW w:w="3176" w:type="dxa"/>
            <w:vAlign w:val="center"/>
          </w:tcPr>
          <w:p>
            <w:pPr>
              <w:rPr>
                <w:rFonts w:hint="eastAsia" w:ascii="仿宋" w:hAnsi="仿宋" w:eastAsia="仿宋"/>
                <w:szCs w:val="21"/>
              </w:rPr>
            </w:pPr>
            <w:r>
              <w:rPr>
                <w:rFonts w:hint="eastAsia" w:ascii="仿宋" w:hAnsi="仿宋" w:eastAsia="仿宋"/>
                <w:szCs w:val="21"/>
              </w:rPr>
              <w:t>视为持有票据发行方多头</w:t>
            </w:r>
          </w:p>
        </w:tc>
        <w:tc>
          <w:tcPr>
            <w:tcW w:w="3132" w:type="dxa"/>
            <w:vAlign w:val="center"/>
          </w:tcPr>
          <w:p>
            <w:pPr>
              <w:rPr>
                <w:rFonts w:hint="eastAsia" w:ascii="仿宋" w:hAnsi="仿宋" w:eastAsia="仿宋"/>
                <w:szCs w:val="21"/>
              </w:rPr>
            </w:pPr>
            <w:r>
              <w:rPr>
                <w:rFonts w:hint="eastAsia" w:ascii="仿宋" w:hAnsi="仿宋" w:eastAsia="仿宋"/>
                <w:szCs w:val="21"/>
              </w:rPr>
              <w:t>视为卖出票据发行方空头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continue"/>
            <w:vAlign w:val="center"/>
          </w:tcPr>
          <w:p>
            <w:pPr>
              <w:ind w:firstLine="420" w:firstLineChars="200"/>
              <w:jc w:val="center"/>
              <w:rPr>
                <w:rFonts w:hint="eastAsia" w:ascii="仿宋" w:hAnsi="仿宋" w:eastAsia="仿宋"/>
                <w:szCs w:val="21"/>
              </w:rPr>
            </w:pPr>
          </w:p>
        </w:tc>
        <w:tc>
          <w:tcPr>
            <w:tcW w:w="1034" w:type="dxa"/>
            <w:vAlign w:val="center"/>
          </w:tcPr>
          <w:p>
            <w:pPr>
              <w:jc w:val="center"/>
              <w:rPr>
                <w:rFonts w:hint="eastAsia" w:ascii="仿宋" w:hAnsi="仿宋" w:eastAsia="仿宋"/>
                <w:szCs w:val="21"/>
              </w:rPr>
            </w:pPr>
            <w:r>
              <w:rPr>
                <w:rFonts w:hint="eastAsia" w:ascii="仿宋" w:hAnsi="仿宋" w:eastAsia="仿宋"/>
                <w:szCs w:val="21"/>
              </w:rPr>
              <w:t>特定市场风险</w:t>
            </w:r>
          </w:p>
        </w:tc>
        <w:tc>
          <w:tcPr>
            <w:tcW w:w="3176" w:type="dxa"/>
            <w:vAlign w:val="center"/>
          </w:tcPr>
          <w:p>
            <w:pPr>
              <w:rPr>
                <w:rFonts w:hint="eastAsia" w:ascii="仿宋" w:hAnsi="仿宋" w:eastAsia="仿宋"/>
                <w:szCs w:val="21"/>
              </w:rPr>
            </w:pPr>
            <w:r>
              <w:rPr>
                <w:rFonts w:hint="eastAsia" w:ascii="仿宋" w:hAnsi="仿宋" w:eastAsia="仿宋"/>
                <w:szCs w:val="21"/>
              </w:rPr>
              <w:t>视为持有票据发行方以及信用参考实体多头，如为合格证券的情况，则视为持有票据发行方多头</w:t>
            </w:r>
          </w:p>
        </w:tc>
        <w:tc>
          <w:tcPr>
            <w:tcW w:w="3132" w:type="dxa"/>
            <w:vAlign w:val="center"/>
          </w:tcPr>
          <w:p>
            <w:pPr>
              <w:rPr>
                <w:rFonts w:hint="eastAsia" w:ascii="仿宋" w:hAnsi="仿宋" w:eastAsia="仿宋"/>
                <w:szCs w:val="21"/>
              </w:rPr>
            </w:pPr>
            <w:r>
              <w:rPr>
                <w:rFonts w:hint="eastAsia" w:ascii="仿宋" w:hAnsi="仿宋" w:eastAsia="仿宋"/>
                <w:szCs w:val="21"/>
              </w:rPr>
              <w:t>视为卖出信用参考实体空头，如为合格证券的情况，则视为卖出票据发行方空头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restart"/>
            <w:vAlign w:val="center"/>
          </w:tcPr>
          <w:p>
            <w:pPr>
              <w:jc w:val="center"/>
              <w:rPr>
                <w:rFonts w:hint="eastAsia" w:ascii="仿宋" w:hAnsi="仿宋" w:eastAsia="仿宋"/>
                <w:szCs w:val="21"/>
              </w:rPr>
            </w:pPr>
            <w:r>
              <w:rPr>
                <w:rFonts w:hint="eastAsia" w:ascii="仿宋" w:hAnsi="仿宋" w:eastAsia="仿宋"/>
                <w:szCs w:val="21"/>
              </w:rPr>
              <w:t>首次违约信用互换</w:t>
            </w:r>
          </w:p>
        </w:tc>
        <w:tc>
          <w:tcPr>
            <w:tcW w:w="1034" w:type="dxa"/>
            <w:vAlign w:val="center"/>
          </w:tcPr>
          <w:p>
            <w:pPr>
              <w:jc w:val="center"/>
              <w:rPr>
                <w:rFonts w:hint="eastAsia" w:ascii="仿宋" w:hAnsi="仿宋" w:eastAsia="仿宋"/>
                <w:szCs w:val="21"/>
              </w:rPr>
            </w:pPr>
            <w:r>
              <w:rPr>
                <w:rFonts w:hint="eastAsia" w:ascii="仿宋" w:hAnsi="仿宋" w:eastAsia="仿宋"/>
                <w:szCs w:val="21"/>
              </w:rPr>
              <w:t>一般市场风险</w:t>
            </w:r>
          </w:p>
        </w:tc>
        <w:tc>
          <w:tcPr>
            <w:tcW w:w="3176" w:type="dxa"/>
            <w:vAlign w:val="center"/>
          </w:tcPr>
          <w:p>
            <w:pPr>
              <w:rPr>
                <w:rFonts w:hint="eastAsia" w:ascii="仿宋" w:hAnsi="仿宋" w:eastAsia="仿宋"/>
                <w:szCs w:val="21"/>
              </w:rPr>
            </w:pPr>
            <w:r>
              <w:rPr>
                <w:rFonts w:hint="eastAsia" w:ascii="仿宋" w:hAnsi="仿宋" w:eastAsia="仿宋"/>
                <w:szCs w:val="21"/>
              </w:rPr>
              <w:t>如有任何费用或利息的支付，则视为持有无特定市场风险债券多头</w:t>
            </w:r>
          </w:p>
        </w:tc>
        <w:tc>
          <w:tcPr>
            <w:tcW w:w="3132" w:type="dxa"/>
            <w:vAlign w:val="center"/>
          </w:tcPr>
          <w:p>
            <w:pPr>
              <w:rPr>
                <w:rFonts w:hint="eastAsia" w:ascii="仿宋" w:hAnsi="仿宋" w:eastAsia="仿宋"/>
                <w:szCs w:val="21"/>
              </w:rPr>
            </w:pPr>
            <w:r>
              <w:rPr>
                <w:rFonts w:hint="eastAsia" w:ascii="仿宋" w:hAnsi="仿宋" w:eastAsia="仿宋"/>
                <w:szCs w:val="21"/>
              </w:rPr>
              <w:t>如有任何费用或利息的支付，则视为卖出无特定市场风险债券空头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continue"/>
            <w:vAlign w:val="center"/>
          </w:tcPr>
          <w:p>
            <w:pPr>
              <w:ind w:firstLine="420" w:firstLineChars="200"/>
              <w:jc w:val="center"/>
              <w:rPr>
                <w:rFonts w:hint="eastAsia" w:ascii="仿宋" w:hAnsi="仿宋" w:eastAsia="仿宋"/>
                <w:szCs w:val="21"/>
              </w:rPr>
            </w:pPr>
          </w:p>
        </w:tc>
        <w:tc>
          <w:tcPr>
            <w:tcW w:w="1034" w:type="dxa"/>
            <w:vAlign w:val="center"/>
          </w:tcPr>
          <w:p>
            <w:pPr>
              <w:jc w:val="center"/>
              <w:rPr>
                <w:rFonts w:hint="eastAsia" w:ascii="仿宋" w:hAnsi="仿宋" w:eastAsia="仿宋"/>
                <w:szCs w:val="21"/>
              </w:rPr>
            </w:pPr>
            <w:r>
              <w:rPr>
                <w:rFonts w:hint="eastAsia" w:ascii="仿宋" w:hAnsi="仿宋" w:eastAsia="仿宋"/>
                <w:szCs w:val="21"/>
              </w:rPr>
              <w:t>特定市场风险</w:t>
            </w:r>
          </w:p>
        </w:tc>
        <w:tc>
          <w:tcPr>
            <w:tcW w:w="3176" w:type="dxa"/>
            <w:vAlign w:val="center"/>
          </w:tcPr>
          <w:p>
            <w:pPr>
              <w:rPr>
                <w:rFonts w:hint="eastAsia" w:ascii="仿宋" w:hAnsi="仿宋" w:eastAsia="仿宋"/>
                <w:szCs w:val="21"/>
              </w:rPr>
            </w:pPr>
            <w:r>
              <w:rPr>
                <w:rFonts w:hint="eastAsia" w:ascii="仿宋" w:hAnsi="仿宋" w:eastAsia="仿宋"/>
                <w:szCs w:val="21"/>
              </w:rPr>
              <w:t>视为持有所有参考实体多头，特定市场风险资本要求以可能的最大支出作为上限，如为合格证券的情况，则视为持有信用衍生品多头</w:t>
            </w:r>
          </w:p>
        </w:tc>
        <w:tc>
          <w:tcPr>
            <w:tcW w:w="3132" w:type="dxa"/>
            <w:vAlign w:val="center"/>
          </w:tcPr>
          <w:p>
            <w:pPr>
              <w:rPr>
                <w:rFonts w:hint="eastAsia" w:ascii="仿宋" w:hAnsi="仿宋" w:eastAsia="仿宋"/>
                <w:szCs w:val="21"/>
              </w:rPr>
            </w:pPr>
            <w:r>
              <w:rPr>
                <w:rFonts w:hint="eastAsia" w:ascii="仿宋" w:hAnsi="仿宋" w:eastAsia="仿宋"/>
                <w:szCs w:val="21"/>
              </w:rPr>
              <w:t>视为卖出特定市场风险资本要求最高的参考实体空头（针对风险暴露），或视为卖出特定市场风险资本要求最低的信用参考实体空头（针对对冲头寸）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restart"/>
            <w:vAlign w:val="center"/>
          </w:tcPr>
          <w:p>
            <w:pPr>
              <w:jc w:val="center"/>
              <w:rPr>
                <w:rFonts w:hint="eastAsia" w:ascii="仿宋" w:hAnsi="仿宋" w:eastAsia="仿宋"/>
                <w:szCs w:val="21"/>
              </w:rPr>
            </w:pPr>
            <w:r>
              <w:rPr>
                <w:rFonts w:hint="eastAsia" w:ascii="仿宋" w:hAnsi="仿宋" w:eastAsia="仿宋"/>
                <w:szCs w:val="21"/>
              </w:rPr>
              <w:t>第二次违约信用互换</w:t>
            </w:r>
          </w:p>
        </w:tc>
        <w:tc>
          <w:tcPr>
            <w:tcW w:w="1034" w:type="dxa"/>
            <w:vAlign w:val="center"/>
          </w:tcPr>
          <w:p>
            <w:pPr>
              <w:jc w:val="center"/>
              <w:rPr>
                <w:rFonts w:hint="eastAsia" w:ascii="仿宋" w:hAnsi="仿宋" w:eastAsia="仿宋"/>
                <w:szCs w:val="21"/>
              </w:rPr>
            </w:pPr>
            <w:r>
              <w:rPr>
                <w:rFonts w:hint="eastAsia" w:ascii="仿宋" w:hAnsi="仿宋" w:eastAsia="仿宋"/>
                <w:szCs w:val="21"/>
              </w:rPr>
              <w:t>一般市场风险</w:t>
            </w:r>
          </w:p>
        </w:tc>
        <w:tc>
          <w:tcPr>
            <w:tcW w:w="3176" w:type="dxa"/>
            <w:vAlign w:val="center"/>
          </w:tcPr>
          <w:p>
            <w:pPr>
              <w:rPr>
                <w:rFonts w:hint="eastAsia" w:ascii="仿宋" w:hAnsi="仿宋" w:eastAsia="仿宋"/>
                <w:szCs w:val="21"/>
              </w:rPr>
            </w:pPr>
            <w:r>
              <w:rPr>
                <w:rFonts w:hint="eastAsia" w:ascii="仿宋" w:hAnsi="仿宋" w:eastAsia="仿宋"/>
                <w:szCs w:val="21"/>
              </w:rPr>
              <w:t>如有任何费用或利息的支付，则视为持有无特定市场风险债券多头</w:t>
            </w:r>
          </w:p>
        </w:tc>
        <w:tc>
          <w:tcPr>
            <w:tcW w:w="3132" w:type="dxa"/>
            <w:vAlign w:val="center"/>
          </w:tcPr>
          <w:p>
            <w:pPr>
              <w:rPr>
                <w:rFonts w:hint="eastAsia" w:ascii="仿宋" w:hAnsi="仿宋" w:eastAsia="仿宋"/>
                <w:szCs w:val="21"/>
              </w:rPr>
            </w:pPr>
            <w:r>
              <w:rPr>
                <w:rFonts w:hint="eastAsia" w:ascii="仿宋" w:hAnsi="仿宋" w:eastAsia="仿宋"/>
                <w:szCs w:val="21"/>
              </w:rPr>
              <w:t>如有任何费用或利息的支付，则视为卖出无特定市场风险债券空头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378" w:type="dxa"/>
            <w:vMerge w:val="continue"/>
            <w:vAlign w:val="center"/>
          </w:tcPr>
          <w:p>
            <w:pPr>
              <w:ind w:firstLine="420" w:firstLineChars="200"/>
              <w:jc w:val="center"/>
              <w:rPr>
                <w:rFonts w:hint="eastAsia" w:ascii="仿宋" w:hAnsi="仿宋" w:eastAsia="仿宋"/>
                <w:szCs w:val="21"/>
              </w:rPr>
            </w:pPr>
          </w:p>
        </w:tc>
        <w:tc>
          <w:tcPr>
            <w:tcW w:w="1034" w:type="dxa"/>
            <w:vAlign w:val="center"/>
          </w:tcPr>
          <w:p>
            <w:pPr>
              <w:jc w:val="center"/>
              <w:rPr>
                <w:rFonts w:hint="eastAsia" w:ascii="仿宋" w:hAnsi="仿宋" w:eastAsia="仿宋"/>
                <w:szCs w:val="21"/>
              </w:rPr>
            </w:pPr>
            <w:r>
              <w:rPr>
                <w:rFonts w:hint="eastAsia" w:ascii="仿宋" w:hAnsi="仿宋" w:eastAsia="仿宋"/>
                <w:szCs w:val="21"/>
              </w:rPr>
              <w:t>特定市场风险</w:t>
            </w:r>
          </w:p>
        </w:tc>
        <w:tc>
          <w:tcPr>
            <w:tcW w:w="3176" w:type="dxa"/>
            <w:vAlign w:val="center"/>
          </w:tcPr>
          <w:p>
            <w:pPr>
              <w:rPr>
                <w:rFonts w:hint="eastAsia" w:ascii="仿宋" w:hAnsi="仿宋" w:eastAsia="仿宋"/>
                <w:szCs w:val="21"/>
              </w:rPr>
            </w:pPr>
            <w:r>
              <w:rPr>
                <w:rFonts w:hint="eastAsia" w:ascii="仿宋" w:hAnsi="仿宋" w:eastAsia="仿宋"/>
                <w:szCs w:val="21"/>
              </w:rPr>
              <w:t>视为持有所有参考实体多头，但不包括特定市场风险资本要求最低的信用参考实体多头，特定市场风险资本要求以可能的最大支出作为上限，如为合格证券的情况，则视为持有信用衍生品多头</w:t>
            </w:r>
          </w:p>
        </w:tc>
        <w:tc>
          <w:tcPr>
            <w:tcW w:w="3132" w:type="dxa"/>
            <w:vAlign w:val="center"/>
          </w:tcPr>
          <w:p>
            <w:pPr>
              <w:rPr>
                <w:rFonts w:hint="eastAsia" w:ascii="仿宋" w:hAnsi="仿宋" w:eastAsia="仿宋"/>
                <w:szCs w:val="21"/>
              </w:rPr>
            </w:pPr>
            <w:r>
              <w:rPr>
                <w:rFonts w:hint="eastAsia" w:ascii="仿宋" w:hAnsi="仿宋" w:eastAsia="仿宋"/>
                <w:szCs w:val="21"/>
              </w:rPr>
              <w:t>视为卖出特定市场风险资本要求最高的参考实体空头（针对风险暴露），当存在首次违约保护的情况下，视为卖出第二个特定市场风险资本要求最低的信用参考实体空头，或当特定市场风险资本要求最低的信用参考实体已发生违约的情况下，视为卖出信用参考实体空头（针对对冲头寸）</w:t>
            </w:r>
          </w:p>
        </w:tc>
      </w:tr>
    </w:tbl>
    <w:p>
      <w:pPr>
        <w:ind w:firstLine="420" w:firstLineChars="200"/>
        <w:jc w:val="center"/>
        <w:rPr>
          <w:rFonts w:hint="eastAsia" w:ascii="仿宋" w:hAnsi="仿宋" w:eastAsia="仿宋"/>
          <w:szCs w:val="21"/>
        </w:rPr>
      </w:pPr>
    </w:p>
    <w:p>
      <w:pPr>
        <w:rPr>
          <w:rFonts w:hint="eastAsia" w:ascii="仿宋" w:hAnsi="仿宋" w:eastAsia="仿宋"/>
          <w:b/>
          <w:szCs w:val="21"/>
        </w:rPr>
      </w:pPr>
      <w:r>
        <w:rPr>
          <w:rFonts w:ascii="仿宋" w:hAnsi="仿宋" w:eastAsia="仿宋"/>
        </w:rPr>
        <w:br w:type="page"/>
      </w:r>
      <w:r>
        <w:rPr>
          <w:rFonts w:ascii="仿宋" w:hAnsi="仿宋" w:eastAsia="仿宋"/>
          <w:b/>
          <w:szCs w:val="21"/>
        </w:rPr>
        <w:t>附件</w:t>
      </w:r>
      <w:r>
        <w:rPr>
          <w:rFonts w:hint="eastAsia" w:ascii="仿宋" w:hAnsi="仿宋" w:eastAsia="仿宋"/>
          <w:b/>
          <w:szCs w:val="21"/>
        </w:rPr>
        <w:t>4</w:t>
      </w:r>
    </w:p>
    <w:p>
      <w:pPr>
        <w:rPr>
          <w:rFonts w:hint="eastAsia" w:ascii="仿宋" w:hAnsi="仿宋" w:eastAsia="仿宋"/>
          <w:b/>
          <w:szCs w:val="21"/>
        </w:rPr>
      </w:pPr>
    </w:p>
    <w:p>
      <w:pPr>
        <w:ind w:firstLine="361" w:firstLineChars="172"/>
        <w:jc w:val="center"/>
        <w:rPr>
          <w:rFonts w:hint="eastAsia" w:ascii="仿宋" w:hAnsi="仿宋" w:eastAsia="仿宋"/>
          <w:b/>
          <w:szCs w:val="21"/>
        </w:rPr>
      </w:pPr>
      <w:r>
        <w:rPr>
          <w:rFonts w:ascii="仿宋" w:hAnsi="仿宋" w:eastAsia="仿宋"/>
          <w:bCs/>
          <w:szCs w:val="21"/>
        </w:rPr>
        <w:t>操作风险基本指标法计量规则</w:t>
      </w:r>
    </w:p>
    <w:p>
      <w:pPr>
        <w:rPr>
          <w:rFonts w:hint="eastAsia" w:ascii="仿宋" w:hAnsi="仿宋" w:eastAsia="仿宋"/>
          <w:b/>
          <w:szCs w:val="21"/>
        </w:rPr>
      </w:pPr>
    </w:p>
    <w:p>
      <w:pPr>
        <w:snapToGrid w:val="0"/>
        <w:spacing w:line="360" w:lineRule="auto"/>
        <w:ind w:firstLine="420" w:firstLineChars="200"/>
        <w:rPr>
          <w:rFonts w:hint="eastAsia" w:ascii="仿宋" w:hAnsi="仿宋" w:eastAsia="仿宋"/>
          <w:b/>
          <w:szCs w:val="21"/>
        </w:rPr>
      </w:pPr>
      <w:r>
        <w:rPr>
          <w:rFonts w:ascii="仿宋" w:hAnsi="仿宋" w:eastAsia="仿宋"/>
          <w:bCs/>
          <w:szCs w:val="21"/>
        </w:rPr>
        <w:t>基本指标法总收入定义</w:t>
      </w:r>
    </w:p>
    <w:p>
      <w:pPr>
        <w:snapToGrid w:val="0"/>
        <w:spacing w:line="360" w:lineRule="auto"/>
        <w:ind w:firstLine="420" w:firstLineChars="200"/>
        <w:rPr>
          <w:rFonts w:hint="eastAsia" w:ascii="仿宋" w:hAnsi="仿宋" w:eastAsia="仿宋"/>
          <w:szCs w:val="21"/>
        </w:rPr>
      </w:pPr>
      <w:r>
        <w:rPr>
          <w:rFonts w:ascii="仿宋" w:hAnsi="仿宋" w:eastAsia="仿宋"/>
          <w:szCs w:val="21"/>
        </w:rPr>
        <w:t>总收入为</w:t>
      </w:r>
      <w:r>
        <w:rPr>
          <w:rFonts w:hint="eastAsia" w:ascii="仿宋" w:hAnsi="仿宋" w:eastAsia="仿宋"/>
          <w:szCs w:val="21"/>
        </w:rPr>
        <w:t>不良资产经营及处置净收入、手续费及佣金净收入、投资收益、</w:t>
      </w:r>
      <w:r>
        <w:rPr>
          <w:rFonts w:ascii="仿宋" w:hAnsi="仿宋" w:eastAsia="仿宋"/>
          <w:szCs w:val="21"/>
        </w:rPr>
        <w:t>利息</w:t>
      </w:r>
      <w:r>
        <w:rPr>
          <w:rFonts w:hint="eastAsia" w:ascii="仿宋" w:hAnsi="仿宋" w:eastAsia="仿宋"/>
          <w:szCs w:val="21"/>
        </w:rPr>
        <w:t>净</w:t>
      </w:r>
      <w:r>
        <w:rPr>
          <w:rFonts w:ascii="仿宋" w:hAnsi="仿宋" w:eastAsia="仿宋"/>
          <w:szCs w:val="21"/>
        </w:rPr>
        <w:t>收入</w:t>
      </w:r>
      <w:r>
        <w:rPr>
          <w:rFonts w:hint="eastAsia" w:ascii="仿宋" w:hAnsi="仿宋" w:eastAsia="仿宋"/>
          <w:szCs w:val="21"/>
        </w:rPr>
        <w:t>以及其他收入</w:t>
      </w:r>
      <w:r>
        <w:rPr>
          <w:rFonts w:ascii="仿宋" w:hAnsi="仿宋" w:eastAsia="仿宋"/>
          <w:szCs w:val="21"/>
        </w:rPr>
        <w:t>之和。总收入构成说明见表1</w:t>
      </w:r>
      <w:r>
        <w:rPr>
          <w:rStyle w:val="54"/>
          <w:rFonts w:ascii="仿宋" w:hAnsi="仿宋" w:eastAsia="仿宋"/>
          <w:szCs w:val="21"/>
        </w:rPr>
        <w:t xml:space="preserve"> </w:t>
      </w:r>
      <w:r>
        <w:rPr>
          <w:rFonts w:ascii="仿宋" w:hAnsi="仿宋" w:eastAsia="仿宋"/>
          <w:szCs w:val="21"/>
        </w:rPr>
        <w:t>。</w:t>
      </w:r>
    </w:p>
    <w:p>
      <w:pPr>
        <w:jc w:val="center"/>
        <w:rPr>
          <w:rFonts w:hint="eastAsia" w:ascii="仿宋" w:hAnsi="仿宋" w:eastAsia="仿宋"/>
          <w:b/>
          <w:szCs w:val="21"/>
        </w:rPr>
      </w:pPr>
      <w:r>
        <w:rPr>
          <w:rFonts w:ascii="仿宋" w:hAnsi="仿宋" w:eastAsia="仿宋"/>
          <w:bCs/>
          <w:szCs w:val="21"/>
        </w:rPr>
        <w:t>表1：总收入构成说明</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2323"/>
        <w:gridCol w:w="5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adjustRightInd w:val="0"/>
              <w:snapToGrid w:val="0"/>
              <w:ind w:firstLine="361" w:firstLineChars="172"/>
              <w:rPr>
                <w:rFonts w:hint="eastAsia" w:ascii="仿宋" w:hAnsi="仿宋" w:eastAsia="仿宋"/>
                <w:szCs w:val="21"/>
              </w:rPr>
            </w:pPr>
          </w:p>
        </w:tc>
        <w:tc>
          <w:tcPr>
            <w:tcW w:w="2323" w:type="dxa"/>
          </w:tcPr>
          <w:p>
            <w:pPr>
              <w:adjustRightInd w:val="0"/>
              <w:snapToGrid w:val="0"/>
              <w:jc w:val="center"/>
              <w:rPr>
                <w:rFonts w:hint="eastAsia" w:ascii="仿宋" w:hAnsi="仿宋" w:eastAsia="仿宋"/>
                <w:b/>
                <w:szCs w:val="21"/>
              </w:rPr>
            </w:pPr>
            <w:r>
              <w:rPr>
                <w:rFonts w:hint="eastAsia" w:ascii="仿宋" w:hAnsi="仿宋" w:eastAsia="仿宋"/>
                <w:b/>
                <w:szCs w:val="21"/>
              </w:rPr>
              <w:t>项目</w:t>
            </w:r>
          </w:p>
        </w:tc>
        <w:tc>
          <w:tcPr>
            <w:tcW w:w="5930" w:type="dxa"/>
          </w:tcPr>
          <w:p>
            <w:pPr>
              <w:adjustRightInd w:val="0"/>
              <w:snapToGrid w:val="0"/>
              <w:jc w:val="center"/>
              <w:rPr>
                <w:rFonts w:hint="eastAsia" w:ascii="仿宋" w:hAnsi="仿宋" w:eastAsia="仿宋"/>
                <w:b/>
                <w:bCs/>
                <w:szCs w:val="21"/>
              </w:rPr>
            </w:pPr>
            <w:r>
              <w:rPr>
                <w:rFonts w:hint="eastAsia" w:ascii="仿宋" w:hAnsi="仿宋" w:eastAsia="仿宋"/>
                <w:b/>
                <w:bCs/>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1</w:t>
            </w:r>
          </w:p>
        </w:tc>
        <w:tc>
          <w:tcPr>
            <w:tcW w:w="2323"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不良资产经营及处置净收入</w:t>
            </w:r>
          </w:p>
        </w:tc>
        <w:tc>
          <w:tcPr>
            <w:tcW w:w="5930" w:type="dxa"/>
            <w:vAlign w:val="center"/>
          </w:tcPr>
          <w:p>
            <w:pPr>
              <w:adjustRightInd w:val="0"/>
              <w:snapToGrid w:val="0"/>
              <w:rPr>
                <w:rFonts w:hint="eastAsia" w:ascii="仿宋" w:hAnsi="仿宋" w:eastAsia="仿宋"/>
                <w:szCs w:val="21"/>
              </w:rPr>
            </w:pPr>
            <w:r>
              <w:rPr>
                <w:rFonts w:hint="eastAsia" w:ascii="仿宋" w:hAnsi="仿宋" w:eastAsia="仿宋"/>
                <w:szCs w:val="21"/>
              </w:rPr>
              <w:t>不良资产经营及处置收益减去经营及处置损失后的净额，包括因处置不良资产获取的价差收益或损失，因重组不良资产所获取的收益或损失，以及以公允价值计量的不良资产的公允价值变动损益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2</w:t>
            </w:r>
          </w:p>
        </w:tc>
        <w:tc>
          <w:tcPr>
            <w:tcW w:w="2323"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手续费及佣金净收入</w:t>
            </w:r>
          </w:p>
        </w:tc>
        <w:tc>
          <w:tcPr>
            <w:tcW w:w="5930" w:type="dxa"/>
            <w:vAlign w:val="center"/>
          </w:tcPr>
          <w:p>
            <w:pPr>
              <w:adjustRightInd w:val="0"/>
              <w:snapToGrid w:val="0"/>
              <w:rPr>
                <w:rFonts w:hint="eastAsia" w:ascii="仿宋" w:hAnsi="仿宋" w:eastAsia="仿宋"/>
                <w:szCs w:val="21"/>
              </w:rPr>
            </w:pPr>
            <w:r>
              <w:rPr>
                <w:rFonts w:hint="eastAsia" w:ascii="仿宋" w:hAnsi="仿宋" w:eastAsia="仿宋"/>
                <w:szCs w:val="21"/>
              </w:rPr>
              <w:t>手续费及佣金收入</w:t>
            </w:r>
            <w:r>
              <w:rPr>
                <w:rFonts w:hint="eastAsia" w:ascii="仿宋" w:hAnsi="仿宋" w:eastAsia="仿宋" w:cs="宋体"/>
                <w:szCs w:val="21"/>
              </w:rPr>
              <w:t>－</w:t>
            </w:r>
            <w:r>
              <w:rPr>
                <w:rFonts w:hint="eastAsia" w:ascii="仿宋" w:hAnsi="仿宋" w:eastAsia="仿宋"/>
                <w:szCs w:val="21"/>
              </w:rPr>
              <w:t>手续费及佣金支出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3</w:t>
            </w:r>
          </w:p>
        </w:tc>
        <w:tc>
          <w:tcPr>
            <w:tcW w:w="2323"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投资收益</w:t>
            </w:r>
          </w:p>
        </w:tc>
        <w:tc>
          <w:tcPr>
            <w:tcW w:w="5930" w:type="dxa"/>
            <w:vAlign w:val="center"/>
          </w:tcPr>
          <w:p>
            <w:pPr>
              <w:adjustRightInd w:val="0"/>
              <w:snapToGrid w:val="0"/>
              <w:rPr>
                <w:rFonts w:hint="eastAsia" w:ascii="仿宋" w:hAnsi="仿宋" w:eastAsia="仿宋"/>
                <w:szCs w:val="21"/>
              </w:rPr>
            </w:pPr>
            <w:r>
              <w:rPr>
                <w:rFonts w:hint="eastAsia" w:ascii="仿宋" w:hAnsi="仿宋" w:eastAsia="仿宋"/>
                <w:szCs w:val="21"/>
              </w:rPr>
              <w:t>以各种方式对外投资取得的收益，包括债券及股票投资收益、股权投资分红等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4</w:t>
            </w:r>
          </w:p>
        </w:tc>
        <w:tc>
          <w:tcPr>
            <w:tcW w:w="2323"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利息净收入</w:t>
            </w:r>
          </w:p>
        </w:tc>
        <w:tc>
          <w:tcPr>
            <w:tcW w:w="5930" w:type="dxa"/>
            <w:vAlign w:val="center"/>
          </w:tcPr>
          <w:p>
            <w:pPr>
              <w:adjustRightInd w:val="0"/>
              <w:snapToGrid w:val="0"/>
              <w:rPr>
                <w:rFonts w:hint="eastAsia" w:ascii="仿宋" w:hAnsi="仿宋" w:eastAsia="仿宋"/>
                <w:szCs w:val="21"/>
              </w:rPr>
            </w:pPr>
            <w:r>
              <w:rPr>
                <w:rFonts w:hint="eastAsia" w:ascii="仿宋" w:hAnsi="仿宋" w:eastAsia="仿宋"/>
                <w:szCs w:val="21"/>
              </w:rPr>
              <w:t>金融机构往来利息收入及其他利息收入等</w:t>
            </w:r>
            <w:r>
              <w:rPr>
                <w:rFonts w:hint="eastAsia" w:ascii="仿宋" w:hAnsi="仿宋" w:eastAsia="仿宋" w:cs="宋体"/>
                <w:szCs w:val="21"/>
              </w:rPr>
              <w:t>－</w:t>
            </w:r>
            <w:r>
              <w:rPr>
                <w:rFonts w:hint="eastAsia" w:ascii="仿宋" w:hAnsi="仿宋" w:eastAsia="仿宋"/>
                <w:szCs w:val="21"/>
              </w:rPr>
              <w:t>金融机构往来利息支出及其他借入资金利息支出等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5</w:t>
            </w:r>
          </w:p>
        </w:tc>
        <w:tc>
          <w:tcPr>
            <w:tcW w:w="2323"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其他收入</w:t>
            </w:r>
          </w:p>
        </w:tc>
        <w:tc>
          <w:tcPr>
            <w:tcW w:w="5930" w:type="dxa"/>
            <w:vAlign w:val="center"/>
          </w:tcPr>
          <w:p>
            <w:pPr>
              <w:adjustRightInd w:val="0"/>
              <w:snapToGrid w:val="0"/>
              <w:rPr>
                <w:rFonts w:hint="eastAsia" w:ascii="仿宋" w:hAnsi="仿宋" w:eastAsia="仿宋"/>
                <w:szCs w:val="21"/>
              </w:rPr>
            </w:pPr>
            <w:r>
              <w:rPr>
                <w:rFonts w:hint="eastAsia" w:ascii="仿宋" w:hAnsi="仿宋" w:eastAsia="仿宋"/>
                <w:szCs w:val="21"/>
              </w:rPr>
              <w:t>除以上各项外的其他业务所取得的收入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6</w:t>
            </w:r>
          </w:p>
        </w:tc>
        <w:tc>
          <w:tcPr>
            <w:tcW w:w="2323" w:type="dxa"/>
            <w:vAlign w:val="center"/>
          </w:tcPr>
          <w:p>
            <w:pPr>
              <w:adjustRightInd w:val="0"/>
              <w:snapToGrid w:val="0"/>
              <w:jc w:val="center"/>
              <w:rPr>
                <w:rFonts w:hint="eastAsia" w:ascii="仿宋" w:hAnsi="仿宋" w:eastAsia="仿宋"/>
                <w:szCs w:val="21"/>
              </w:rPr>
            </w:pPr>
            <w:r>
              <w:rPr>
                <w:rFonts w:hint="eastAsia" w:ascii="仿宋" w:hAnsi="仿宋" w:eastAsia="仿宋"/>
                <w:szCs w:val="21"/>
              </w:rPr>
              <w:t>总收入</w:t>
            </w:r>
          </w:p>
        </w:tc>
        <w:tc>
          <w:tcPr>
            <w:tcW w:w="5930" w:type="dxa"/>
            <w:vAlign w:val="center"/>
          </w:tcPr>
          <w:p>
            <w:pPr>
              <w:adjustRightInd w:val="0"/>
              <w:snapToGrid w:val="0"/>
              <w:rPr>
                <w:rFonts w:hint="eastAsia" w:ascii="仿宋" w:hAnsi="仿宋" w:eastAsia="仿宋"/>
                <w:szCs w:val="21"/>
              </w:rPr>
            </w:pPr>
            <w:r>
              <w:rPr>
                <w:rFonts w:hint="eastAsia" w:ascii="仿宋" w:hAnsi="仿宋" w:eastAsia="仿宋"/>
                <w:szCs w:val="21"/>
              </w:rPr>
              <w:t>1＋2+3+4+5</w:t>
            </w:r>
          </w:p>
        </w:tc>
      </w:tr>
    </w:tbl>
    <w:p>
      <w:pPr>
        <w:spacing w:line="480" w:lineRule="exact"/>
        <w:rPr>
          <w:rFonts w:hint="eastAsia" w:ascii="仿宋" w:hAnsi="仿宋" w:eastAsia="仿宋"/>
          <w:szCs w:val="21"/>
        </w:rPr>
      </w:pPr>
    </w:p>
    <w:p>
      <w:pPr>
        <w:adjustRightInd w:val="0"/>
        <w:snapToGrid w:val="0"/>
        <w:spacing w:line="312" w:lineRule="auto"/>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