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07" w:name="_Toc323"/>
      <w:r>
        <w:rPr>
          <w:rFonts w:hint="eastAsia"/>
        </w:rPr>
        <w:t>635--中国银保监会办公厅关于加强商业保理企业监督管理的通知</w:t>
      </w:r>
      <w:r>
        <w:br w:type="textWrapping"/>
      </w:r>
      <w:r>
        <w:rPr>
          <w:rFonts w:hint="eastAsia"/>
        </w:rPr>
        <w:t>（银保监办发〔</w:t>
      </w:r>
      <w:r>
        <w:t>2019〕205号</w:t>
      </w:r>
      <w:r>
        <w:rPr>
          <w:rFonts w:hint="eastAsia"/>
        </w:rPr>
        <w:t>）</w:t>
      </w:r>
      <w:bookmarkEnd w:id="2007"/>
    </w:p>
    <w:p>
      <w:pPr>
        <w:adjustRightInd w:val="0"/>
        <w:snapToGrid w:val="0"/>
        <w:spacing w:line="312" w:lineRule="auto"/>
        <w:rPr>
          <w:rFonts w:hint="eastAsia" w:ascii="仿宋" w:hAnsi="仿宋" w:eastAsia="仿宋"/>
          <w:bCs/>
        </w:rPr>
      </w:pPr>
      <w:r>
        <w:rPr>
          <w:rFonts w:hint="eastAsia" w:ascii="仿宋" w:hAnsi="仿宋" w:eastAsia="仿宋"/>
          <w:bCs/>
        </w:rPr>
        <w:t>各省、自治区、直辖市、计划单列市、新疆生产建设兵团地方金融监督管理局：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为规范商业保理企业经营行为，加强监督管理，压实监管责任，防范化解风险，促进商业保理行业健康发展，现就有关事项通知如下：</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一、依法合规经营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（一）商业保理企业开展业务，应遵守</w:t>
      </w:r>
      <w:r>
        <w:rPr>
          <w:rFonts w:hint="eastAsia" w:ascii="仿宋" w:hAnsi="仿宋" w:eastAsia="仿宋"/>
          <w:strike/>
        </w:rPr>
        <w:t>《合同法》</w:t>
      </w:r>
      <w:r>
        <w:rPr>
          <w:rFonts w:hint="eastAsia" w:ascii="仿宋" w:hAnsi="仿宋" w:eastAsia="仿宋"/>
          <w:color w:val="0000FF"/>
        </w:rPr>
        <w:t>《中华人民共和国民法典》</w:t>
      </w:r>
      <w:r>
        <w:rPr>
          <w:rStyle w:val="54"/>
          <w:rFonts w:hint="eastAsia" w:ascii="仿宋" w:hAnsi="仿宋" w:eastAsia="仿宋"/>
          <w:color w:val="0000FF"/>
        </w:rPr>
        <w:footnoteReference w:id="106"/>
      </w:r>
      <w:r>
        <w:rPr>
          <w:rFonts w:hint="eastAsia" w:ascii="仿宋" w:hAnsi="仿宋" w:eastAsia="仿宋"/>
        </w:rPr>
        <w:t>等法律法规的有关规定，回归本源，专注主业，诚实守信，合规经营，不断提升服务实体经济质效。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（二）商业保理企业应完善公司治理，健全内部控制制度和风险管理体系，防范化解各类风险，保障安全稳健运行。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（三）商业保理业务是供应商将其基于真实交易的应收账款转让给商业保理企业，由商业保理企业向其提供的以下服务：</w:t>
      </w:r>
    </w:p>
    <w:p>
      <w:pPr>
        <w:adjustRightInd w:val="0"/>
        <w:snapToGrid w:val="0"/>
        <w:spacing w:line="312" w:lineRule="auto"/>
        <w:ind w:firstLine="420" w:firstLineChars="200"/>
        <w:rPr>
          <w:rFonts w:hint="eastAsia" w:ascii="仿宋" w:hAnsi="仿宋" w:eastAsia="仿宋"/>
        </w:rPr>
      </w:pPr>
      <w:r>
        <w:rPr>
          <w:rFonts w:ascii="仿宋" w:hAnsi="仿宋" w:eastAsia="仿宋"/>
        </w:rPr>
        <w:t>1.保理融资；</w:t>
      </w:r>
    </w:p>
    <w:p>
      <w:pPr>
        <w:adjustRightInd w:val="0"/>
        <w:snapToGrid w:val="0"/>
        <w:spacing w:line="312" w:lineRule="auto"/>
        <w:ind w:firstLine="420" w:firstLineChars="200"/>
        <w:rPr>
          <w:rFonts w:hint="eastAsia" w:ascii="仿宋" w:hAnsi="仿宋" w:eastAsia="仿宋"/>
        </w:rPr>
      </w:pPr>
      <w:r>
        <w:rPr>
          <w:rFonts w:ascii="仿宋" w:hAnsi="仿宋" w:eastAsia="仿宋"/>
        </w:rPr>
        <w:t>2.销售分户（分类）账管理；</w:t>
      </w:r>
    </w:p>
    <w:p>
      <w:pPr>
        <w:adjustRightInd w:val="0"/>
        <w:snapToGrid w:val="0"/>
        <w:spacing w:line="312" w:lineRule="auto"/>
        <w:ind w:firstLine="420" w:firstLineChars="200"/>
        <w:rPr>
          <w:rFonts w:hint="eastAsia" w:ascii="仿宋" w:hAnsi="仿宋" w:eastAsia="仿宋"/>
        </w:rPr>
      </w:pPr>
      <w:r>
        <w:rPr>
          <w:rFonts w:ascii="仿宋" w:hAnsi="仿宋" w:eastAsia="仿宋"/>
        </w:rPr>
        <w:t>3.应收账款催收；</w:t>
      </w:r>
    </w:p>
    <w:p>
      <w:pPr>
        <w:adjustRightInd w:val="0"/>
        <w:snapToGrid w:val="0"/>
        <w:spacing w:line="312" w:lineRule="auto"/>
        <w:ind w:firstLine="420" w:firstLineChars="200"/>
        <w:rPr>
          <w:rFonts w:hint="eastAsia" w:ascii="仿宋" w:hAnsi="仿宋" w:eastAsia="仿宋"/>
        </w:rPr>
      </w:pPr>
      <w:r>
        <w:rPr>
          <w:rFonts w:ascii="仿宋" w:hAnsi="仿宋" w:eastAsia="仿宋"/>
        </w:rPr>
        <w:t>4.非商业性坏账担保。</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商业保理企业应主要经营商业保理业务，同时还可经营客户资信调查与评估、与商业保理相关的咨询服务。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（四）商业保理企业不得有以下行为或经营以下业务：</w:t>
      </w:r>
    </w:p>
    <w:p>
      <w:pPr>
        <w:adjustRightInd w:val="0"/>
        <w:snapToGrid w:val="0"/>
        <w:spacing w:line="312" w:lineRule="auto"/>
        <w:ind w:firstLine="420" w:firstLineChars="200"/>
        <w:rPr>
          <w:rFonts w:hint="eastAsia" w:ascii="仿宋" w:hAnsi="仿宋" w:eastAsia="仿宋"/>
        </w:rPr>
      </w:pPr>
      <w:r>
        <w:rPr>
          <w:rFonts w:ascii="仿宋" w:hAnsi="仿宋" w:eastAsia="仿宋"/>
        </w:rPr>
        <w:t>1.吸收或变相吸收公众存款；</w:t>
      </w:r>
    </w:p>
    <w:p>
      <w:pPr>
        <w:adjustRightInd w:val="0"/>
        <w:snapToGrid w:val="0"/>
        <w:spacing w:line="312" w:lineRule="auto"/>
        <w:ind w:firstLine="420" w:firstLineChars="200"/>
        <w:rPr>
          <w:rFonts w:hint="eastAsia" w:ascii="仿宋" w:hAnsi="仿宋" w:eastAsia="仿宋"/>
        </w:rPr>
      </w:pPr>
      <w:r>
        <w:rPr>
          <w:rFonts w:ascii="仿宋" w:hAnsi="仿宋" w:eastAsia="仿宋"/>
        </w:rPr>
        <w:t>2.通过网络借贷信息中介机构、地方各类交易场所、资产管理机构以及私募投资基金等机构融入资金；</w:t>
      </w:r>
    </w:p>
    <w:p>
      <w:pPr>
        <w:adjustRightInd w:val="0"/>
        <w:snapToGrid w:val="0"/>
        <w:spacing w:line="312" w:lineRule="auto"/>
        <w:ind w:firstLine="420" w:firstLineChars="200"/>
        <w:rPr>
          <w:rFonts w:hint="eastAsia" w:ascii="仿宋" w:hAnsi="仿宋" w:eastAsia="仿宋"/>
        </w:rPr>
      </w:pPr>
      <w:r>
        <w:rPr>
          <w:rFonts w:ascii="仿宋" w:hAnsi="仿宋" w:eastAsia="仿宋"/>
        </w:rPr>
        <w:t>3.与其他商业保理企业拆借或变相拆借资金；</w:t>
      </w:r>
    </w:p>
    <w:p>
      <w:pPr>
        <w:adjustRightInd w:val="0"/>
        <w:snapToGrid w:val="0"/>
        <w:spacing w:line="312" w:lineRule="auto"/>
        <w:ind w:firstLine="420" w:firstLineChars="200"/>
        <w:rPr>
          <w:rFonts w:hint="eastAsia" w:ascii="仿宋" w:hAnsi="仿宋" w:eastAsia="仿宋"/>
        </w:rPr>
      </w:pPr>
      <w:r>
        <w:rPr>
          <w:rFonts w:ascii="仿宋" w:hAnsi="仿宋" w:eastAsia="仿宋"/>
        </w:rPr>
        <w:t>4.发放贷款或受托发放贷款；</w:t>
      </w:r>
    </w:p>
    <w:p>
      <w:pPr>
        <w:adjustRightInd w:val="0"/>
        <w:snapToGrid w:val="0"/>
        <w:spacing w:line="312" w:lineRule="auto"/>
        <w:ind w:firstLine="420" w:firstLineChars="200"/>
        <w:rPr>
          <w:rFonts w:hint="eastAsia" w:ascii="仿宋" w:hAnsi="仿宋" w:eastAsia="仿宋"/>
        </w:rPr>
      </w:pPr>
      <w:r>
        <w:rPr>
          <w:rFonts w:ascii="仿宋" w:hAnsi="仿宋" w:eastAsia="仿宋"/>
        </w:rPr>
        <w:t>5.专门从事或受托开展与商业保理无关的催收业务、讨债业务；</w:t>
      </w:r>
    </w:p>
    <w:p>
      <w:pPr>
        <w:adjustRightInd w:val="0"/>
        <w:snapToGrid w:val="0"/>
        <w:spacing w:line="312" w:lineRule="auto"/>
        <w:ind w:firstLine="420" w:firstLineChars="200"/>
        <w:rPr>
          <w:rFonts w:hint="eastAsia" w:ascii="仿宋" w:hAnsi="仿宋" w:eastAsia="仿宋"/>
        </w:rPr>
      </w:pPr>
      <w:r>
        <w:rPr>
          <w:rFonts w:ascii="仿宋" w:hAnsi="仿宋" w:eastAsia="仿宋"/>
        </w:rPr>
        <w:t>6.基于不合法基础交易合同、寄售合同、权属不清的应收账款、因票据或其他有价证券而产生的付款请求权等开展保理融资业务；</w:t>
      </w:r>
    </w:p>
    <w:p>
      <w:pPr>
        <w:adjustRightInd w:val="0"/>
        <w:snapToGrid w:val="0"/>
        <w:spacing w:line="312" w:lineRule="auto"/>
        <w:ind w:firstLine="420" w:firstLineChars="200"/>
        <w:rPr>
          <w:rFonts w:hint="eastAsia" w:ascii="仿宋" w:hAnsi="仿宋" w:eastAsia="仿宋"/>
        </w:rPr>
      </w:pPr>
      <w:r>
        <w:rPr>
          <w:rFonts w:ascii="仿宋" w:hAnsi="仿宋" w:eastAsia="仿宋"/>
        </w:rPr>
        <w:t>7.国家规定不得从事的其他活动。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（五）商业保理企业可以向银保监会监管的银行和非银行金融机构融资，也可以通过股东借款、发行债券、再保理等渠道融资。融资来源必须符合国家相关法律法规规定。</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六）商业保理企业应积极转变业务模式，逐步提高正向保理业务比重，惠及更多供应链上下游中小企业；重点支持符合国家产业政策方向、主业集中于实体经济、技术先进、有市场竞争力的产业链上下游中小企业，助力实体经济和中小企业发展。</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二、加强监督管理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（七）商业保理企业应遵守以下监管要求：</w:t>
      </w:r>
    </w:p>
    <w:p>
      <w:pPr>
        <w:adjustRightInd w:val="0"/>
        <w:snapToGrid w:val="0"/>
        <w:spacing w:line="312" w:lineRule="auto"/>
        <w:ind w:firstLine="420" w:firstLineChars="200"/>
        <w:rPr>
          <w:rFonts w:hint="eastAsia" w:ascii="仿宋" w:hAnsi="仿宋" w:eastAsia="仿宋"/>
        </w:rPr>
      </w:pPr>
      <w:r>
        <w:rPr>
          <w:rFonts w:ascii="仿宋" w:hAnsi="仿宋" w:eastAsia="仿宋"/>
        </w:rPr>
        <w:t>1.受让同一债务人的应收账款，不得超过风险资产总额的50%；</w:t>
      </w:r>
    </w:p>
    <w:p>
      <w:pPr>
        <w:adjustRightInd w:val="0"/>
        <w:snapToGrid w:val="0"/>
        <w:spacing w:line="312" w:lineRule="auto"/>
        <w:ind w:firstLine="420" w:firstLineChars="200"/>
        <w:rPr>
          <w:rFonts w:hint="eastAsia" w:ascii="仿宋" w:hAnsi="仿宋" w:eastAsia="仿宋"/>
        </w:rPr>
      </w:pPr>
      <w:r>
        <w:rPr>
          <w:rFonts w:ascii="仿宋" w:hAnsi="仿宋" w:eastAsia="仿宋"/>
        </w:rPr>
        <w:t>2.受让以其关联企业为债务人的应收账款，不得超过风险资产总额的40%；</w:t>
      </w:r>
    </w:p>
    <w:p>
      <w:pPr>
        <w:adjustRightInd w:val="0"/>
        <w:snapToGrid w:val="0"/>
        <w:spacing w:line="312" w:lineRule="auto"/>
        <w:ind w:firstLine="420" w:firstLineChars="200"/>
        <w:rPr>
          <w:rFonts w:hint="eastAsia" w:ascii="仿宋" w:hAnsi="仿宋" w:eastAsia="仿宋"/>
        </w:rPr>
      </w:pPr>
      <w:r>
        <w:rPr>
          <w:rFonts w:ascii="仿宋" w:hAnsi="仿宋" w:eastAsia="仿宋"/>
        </w:rPr>
        <w:t>3.将逾期90天未收回或未实现的保理融资款纳入不良资产管理；</w:t>
      </w:r>
    </w:p>
    <w:p>
      <w:pPr>
        <w:adjustRightInd w:val="0"/>
        <w:snapToGrid w:val="0"/>
        <w:spacing w:line="312" w:lineRule="auto"/>
        <w:ind w:firstLine="420" w:firstLineChars="200"/>
        <w:rPr>
          <w:rFonts w:hint="eastAsia" w:ascii="仿宋" w:hAnsi="仿宋" w:eastAsia="仿宋"/>
        </w:rPr>
      </w:pPr>
      <w:r>
        <w:rPr>
          <w:rFonts w:ascii="仿宋" w:hAnsi="仿宋" w:eastAsia="仿宋"/>
        </w:rPr>
        <w:t>4.计提的风险准备金，不得低于融资保理业务期末余额的1%；</w:t>
      </w:r>
    </w:p>
    <w:p>
      <w:pPr>
        <w:adjustRightInd w:val="0"/>
        <w:snapToGrid w:val="0"/>
        <w:spacing w:line="312" w:lineRule="auto"/>
        <w:ind w:firstLine="420" w:firstLineChars="200"/>
        <w:rPr>
          <w:rFonts w:hint="eastAsia" w:ascii="仿宋" w:hAnsi="仿宋" w:eastAsia="仿宋"/>
        </w:rPr>
      </w:pPr>
      <w:r>
        <w:rPr>
          <w:rFonts w:ascii="仿宋" w:hAnsi="仿宋" w:eastAsia="仿宋"/>
        </w:rPr>
        <w:t>5.风险资产不得超过净资产的10倍。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（八）各地方金融监督管理局（以下简称金融监管局）要重点分析商业保理企业的财务状况、业务开展情况及经营风险，评价公司治理、内部控制、风险管理措施有效性，关注风险的外溢和交叉传染。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（九）各金融监管局要全面持续收集商业保理企业的经营管理和风险信息，清晰连续地了解和掌握企业基本状况，要求其定期报送报表资料，包括财务会计、统计报表、经营管理资料及其他资料。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（十）各金融监管局要结合非现场监管发现的问题和风险监管要求，加大现场检查的力度，提升现场检查的深度和广度，提高检查的质量和效率。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现场检查可采取询问商业保理企业工作人员、查阅复制与检查事项相关的文件、资料、系统数据等方式，并可委托第三方中介机构实施。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（十一）商业保理企业应在下列事项发生后</w:t>
      </w:r>
      <w:r>
        <w:rPr>
          <w:rFonts w:ascii="仿宋" w:hAnsi="仿宋" w:eastAsia="仿宋"/>
        </w:rPr>
        <w:t>10个工作日内向金融监管局报告：</w:t>
      </w:r>
    </w:p>
    <w:p>
      <w:pPr>
        <w:adjustRightInd w:val="0"/>
        <w:snapToGrid w:val="0"/>
        <w:spacing w:line="312" w:lineRule="auto"/>
        <w:ind w:firstLine="420" w:firstLineChars="200"/>
        <w:rPr>
          <w:rFonts w:hint="eastAsia" w:ascii="仿宋" w:hAnsi="仿宋" w:eastAsia="仿宋"/>
        </w:rPr>
      </w:pPr>
      <w:r>
        <w:rPr>
          <w:rFonts w:ascii="仿宋" w:hAnsi="仿宋" w:eastAsia="仿宋"/>
        </w:rPr>
        <w:t>1.单笔金额超过净资产5%的重大关联交易；</w:t>
      </w:r>
    </w:p>
    <w:p>
      <w:pPr>
        <w:adjustRightInd w:val="0"/>
        <w:snapToGrid w:val="0"/>
        <w:spacing w:line="312" w:lineRule="auto"/>
        <w:ind w:firstLine="420" w:firstLineChars="200"/>
        <w:rPr>
          <w:rFonts w:hint="eastAsia" w:ascii="仿宋" w:hAnsi="仿宋" w:eastAsia="仿宋"/>
        </w:rPr>
      </w:pPr>
      <w:r>
        <w:rPr>
          <w:rFonts w:ascii="仿宋" w:hAnsi="仿宋" w:eastAsia="仿宋"/>
        </w:rPr>
        <w:t>2.单笔金额超过净资产10%的重大债务；</w:t>
      </w:r>
    </w:p>
    <w:p>
      <w:pPr>
        <w:adjustRightInd w:val="0"/>
        <w:snapToGrid w:val="0"/>
        <w:spacing w:line="312" w:lineRule="auto"/>
        <w:ind w:firstLine="420" w:firstLineChars="200"/>
        <w:rPr>
          <w:rFonts w:hint="eastAsia" w:ascii="仿宋" w:hAnsi="仿宋" w:eastAsia="仿宋"/>
        </w:rPr>
      </w:pPr>
      <w:r>
        <w:rPr>
          <w:rFonts w:ascii="仿宋" w:hAnsi="仿宋" w:eastAsia="仿宋"/>
        </w:rPr>
        <w:t>3.单笔金额超过净资产20%的或有负债；</w:t>
      </w:r>
    </w:p>
    <w:p>
      <w:pPr>
        <w:adjustRightInd w:val="0"/>
        <w:snapToGrid w:val="0"/>
        <w:spacing w:line="312" w:lineRule="auto"/>
        <w:ind w:firstLine="420" w:firstLineChars="200"/>
        <w:rPr>
          <w:rFonts w:hint="eastAsia" w:ascii="仿宋" w:hAnsi="仿宋" w:eastAsia="仿宋"/>
        </w:rPr>
      </w:pPr>
      <w:r>
        <w:rPr>
          <w:rFonts w:ascii="仿宋" w:hAnsi="仿宋" w:eastAsia="仿宋"/>
        </w:rPr>
        <w:t>4.超过净资产10%的重大损失或赔偿责任；</w:t>
      </w:r>
    </w:p>
    <w:p>
      <w:pPr>
        <w:adjustRightInd w:val="0"/>
        <w:snapToGrid w:val="0"/>
        <w:spacing w:line="312" w:lineRule="auto"/>
        <w:ind w:firstLine="420" w:firstLineChars="200"/>
        <w:rPr>
          <w:rFonts w:hint="eastAsia" w:ascii="仿宋" w:hAnsi="仿宋" w:eastAsia="仿宋"/>
        </w:rPr>
      </w:pPr>
      <w:r>
        <w:rPr>
          <w:rFonts w:ascii="仿宋" w:hAnsi="仿宋" w:eastAsia="仿宋"/>
        </w:rPr>
        <w:t>5.重大待决诉讼、仲裁。</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（十二）各金融监管局可根据风险监管需要，采取窗口指导、提高信息报送频率、督促开展自查、做出风险提示和通报、进行监管约谈、开展现场检查等常规性监管措施。</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三、稳妥推进分类处置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（十三）各金融监管局要通过信息交叉比对、实地走访、接受信访投诉等方式，继续核查辖内商业保理企业的数量和风险底数，按照经营风险、违法违规情形划分为正常经营、非正常经营和违法违规经营等三类。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四）正常经营类是指依法合规经营的企业。各金融监管局要对正常经营类商业保理企业按注册地审核其营业执照、公司章程、股东名单、高级管理人员名单和简历、经审计的近两年的资产负债表、利润表、现金流量表及规定的其他资料。对于接受并配合监管、在注册地有经营场所且登录“商业保理信息管理系统”或金融监管局指定信息系统完整填报信息的企业，各金融监管局要在报银保监会审核后分批分次进行公示，纳入监管名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五）非正常经营类主要是指“失联”和“空壳”等经营异常的企业。其中，“失联”企业是指满足以下条件之一的企业：无法取得联系；在企业登记住所实地排查无法找到；虽然可以联系到企业工作人员，但其并不知情也不能联系到企业实际控制人；连续</w:t>
      </w:r>
      <w:r>
        <w:rPr>
          <w:rFonts w:ascii="仿宋" w:hAnsi="仿宋" w:eastAsia="仿宋"/>
        </w:rPr>
        <w:t>3个月未按监管要求报送月报。“空壳”企业是指满足以下条件之一的企业：上一年度市场监管部门年度报告显示无经营；近6个月监管月报显示无经营；近6个月无纳税记录或“零申报”；近6个月无社保缴纳记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金融监管局要督促非正常经营类和违法违规经营类企业整改。非正常经营类企业整改验收合格的，可纳入监管名单；拒绝整改或整改验收不合格的，各金融监管局要协调市场监管部门将其纳入异常经营名录，劝导其申请变更企业名称和业务范围、自愿注销或依法吊销营业执照。</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六）违法违规经营类是指经营行为违反法律法规和本通知规定的企业。违法违规情节较轻且整改验收合格的，可纳入监管名单；整改验收不合格或违法违规情节严重的，各金融监管局要依法处罚或取缔，涉嫌违法犯罪的及时移送公安机关依法查处。</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四、严把市场准入关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七）在商业保理企业市场准入管理办法出台前，各金融监管局要协调市场监管部门严控商业保理企业登记注册。确有必要新设的，要与市场监管部门建立会商机制。严格控制商业保理企业变更注册地址，禁止跨省、自治区、直辖市、计划单列市变更注册地址。</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（十八）各金融监管局要严格审核监管名单内商业保理企业股权变更申请，对新股东的背景实力、入股动机、入股资金来源等加强审查，严禁新股东以债务资金或委托资金等非自有资金入股商业保理企业。</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五、压实监管责任</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九）银保监会负责制定商业保理企业业务经营和监管规则。各省（区、市）人民政府负责对辖内商业保理企业实施监督管理。各金融监管局具体负责统一归口监管。除新设审批和行政处罚外，各金融监管局可授权省级以下地方金融监管部门负责其他监管工作。建立专职监管员制度，专职监管员的人数、能力要与被监管对象数量相匹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各金融监管局要推动成立商业保理行业清理规范工作领导小组，组长由省（区、市）人民政府分管负责人担任，办公室设在金融监管局，成员单位包括市场监管、公安、人民银行、银保监、税务等部门。主要职责是：研究解决辖内商业保理行业重大问题，制定相关政策措施，加强工作指导，确保</w:t>
      </w:r>
      <w:r>
        <w:rPr>
          <w:rFonts w:ascii="仿宋" w:hAnsi="仿宋" w:eastAsia="仿宋"/>
        </w:rPr>
        <w:t>2020年6月末前完成存量商业保理企业清理规范工作，并向银保监会报告。</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二十一）商业保理企业住所地金融监管局要牵头负责跨区域经营商业保理企业的监管，加强与分支机构所在地金融监管局的协调配合，定期共享跨区域经营的商业保理企业分支机构名单和经营信息，避免重复监管和监管真空。</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六、优化营商环境</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（二十二）各金融监管局要推动出台风险补偿、奖励、贴息等政策，引导商业保理企业更好为中小微企业提供融资服务。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自由贸易试验区内的商业保理企业可以按照有关规定享受自由贸易试验区关于商业保理企业和支持企业发展的各项优惠政策。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（二十三）鼓励和支持银行保险机构与监管名单内商业保理企业进行合作，按照平等、自愿、公平和诚实信用原则提供融资。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鼓励银行业金融机构向商业保理企业提供境外合作渠道支持，助力商业保理企业拓展国际业务。支持保险公司在风险可控前提下，研究探索与商业保理企业加强业务合作，提供保险保障服务，增强商业保理企业风险抵御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（二十四）各金融监管局要加强对商业保理行业重大问题的研究，深入总结行业发展经验，综合研判本地商业保理行业的发展现状与潜在问题，持续引导商业保理行业高质量发展。</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十五）地方商业保理行业协会要积极发挥作用，加大对商业保理行业的宣传和普及力度，提升社会认知度；引导企业诚实守信、公平竞争、依法合规经营；通过培训、交流等方式，不断提高从业人员合规意识、内控和风险管理水平，促进行业健康发展。</w:t>
      </w: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中国银行保险监督管理委员会办公厅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2019年10月18日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《关于加强商业保理企业监督管理的通知》答记者问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为规范商业保理企业经营行为，加强监督管理，压实监管责任，防范化解风险，促进商业保理行业健康发展，近日银保监会印发了《关于加强商业保理企业监督管理的通知》（下称《通知》）。</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一、《通知》制定的背景是什么？</w:t>
      </w:r>
    </w:p>
    <w:p>
      <w:pPr>
        <w:adjustRightInd w:val="0"/>
        <w:snapToGrid w:val="0"/>
        <w:spacing w:line="312" w:lineRule="auto"/>
        <w:ind w:firstLine="420" w:firstLineChars="200"/>
        <w:rPr>
          <w:rFonts w:hint="eastAsia" w:ascii="仿宋" w:hAnsi="仿宋" w:eastAsia="仿宋"/>
        </w:rPr>
      </w:pPr>
      <w:r>
        <w:rPr>
          <w:rFonts w:ascii="仿宋" w:hAnsi="仿宋" w:eastAsia="仿宋"/>
        </w:rPr>
        <w:t>2009年，商务部等单位印发《关于推动商业信用销售健康发展的意见》（商秩发〔2009〕88号），提出“开展商业保理业务试点，促进应收账款流转”。2012年，商务部印发《关于商业保理试点有关工作的通知》（商资函〔2012〕419号）和《关于商业保理试点实施方案的的复函》（商资函〔2012〕919号），在天津滨海新区、上海浦东新区开展商业保理试点。2013年，商务部印发《关于在重庆两江新区、苏南现代化建设示范区、苏州工业园区开展商业保理试点有关问题的复函》（商资函〔2013〕680号），新增三个试点地区。商事制</w:t>
      </w:r>
      <w:r>
        <w:rPr>
          <w:rFonts w:hint="eastAsia" w:ascii="仿宋" w:hAnsi="仿宋" w:eastAsia="仿宋"/>
        </w:rPr>
        <w:t>度改革后，深圳前海地区将商业保理企业视为一般工商企业直接登记注册，同时部分非试点地区也开始设立商业保理企业。</w:t>
      </w:r>
      <w:r>
        <w:rPr>
          <w:rFonts w:ascii="仿宋" w:hAnsi="仿宋" w:eastAsia="仿宋"/>
        </w:rPr>
        <w:t>2017年全国金融工作会议后，部分省市出现抢注现象，商业保理企业数量出现爆发式增长。</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据排查统计，截至</w:t>
      </w:r>
      <w:r>
        <w:rPr>
          <w:rFonts w:ascii="仿宋" w:hAnsi="仿宋" w:eastAsia="仿宋"/>
        </w:rPr>
        <w:t>2019年6月末，全国已注册商业保理企业12081家，较2018、2019年初分别增加4222家和540家；全行业注册资金8487亿元，较2018、2019年初分别增加1117亿元和457亿元。</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二、《通知》对商业保理企业提出了哪些具体监管指标？主要考虑是什么？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《通知》提出，商业保理企业应当遵守以下监管要求：受让同一债务人的应收账款，不得超过风险资产总额的</w:t>
      </w:r>
      <w:r>
        <w:rPr>
          <w:rFonts w:ascii="仿宋" w:hAnsi="仿宋" w:eastAsia="仿宋"/>
        </w:rPr>
        <w:t>50%；受让以其关联企业为债务人的应收账款，不得超过风险资产总额的40%；将逾期90天未收回或未实现的保理融资款纳入不良资产管理；计提的风险准备金，不得低于融资保理业务期末余额的1%；风险资产不得超过净资产的10倍。</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《通知》对集中度、关联交易、不良资产分类、拨备计提、杠杆比例等作出规范，主要是为了防范商业保理企业经营风险和外溢风险。首先，《通知》延续商务部风险资产不得超过净资产</w:t>
      </w:r>
      <w:r>
        <w:rPr>
          <w:rFonts w:ascii="仿宋" w:hAnsi="仿宋" w:eastAsia="仿宋"/>
        </w:rPr>
        <w:t>10倍的要求，对商业保理企业的负债水平予以适当限制。其次，作为从事金融业务的企业，合理控制客户集中度和关联交易规模比例，严格资产分类，提足拨备，审慎稳健经营是必要的。另外，考虑到实践中有大量企业集团设立的商业保理企业，客户集中度和关联交易比例较大，《通知》以风险资产作为相关指标的计算分母。</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三、如何分类处置存量商业保理企业？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《通知》要求按照经营风险情况、违法违规情形，将商业保理企业划分为正常经营、非正常经营和违法违规经营三类，稳妥有序对存量企业实施分类处置。</w:t>
      </w:r>
    </w:p>
    <w:p>
      <w:pPr>
        <w:adjustRightInd w:val="0"/>
        <w:snapToGrid w:val="0"/>
        <w:spacing w:line="312" w:lineRule="auto"/>
        <w:ind w:firstLine="420" w:firstLineChars="200"/>
        <w:rPr>
          <w:rFonts w:hint="eastAsia" w:ascii="仿宋" w:hAnsi="仿宋" w:eastAsia="仿宋"/>
          <w:b/>
        </w:rPr>
      </w:pPr>
      <w:r>
        <w:rPr>
          <w:rFonts w:hint="eastAsia" w:ascii="仿宋" w:hAnsi="仿宋" w:eastAsia="仿宋"/>
        </w:rPr>
        <w:t>一是对于接受并配合监管、在注册地有经营场所且登录“商业保理信息管理系统”或地方金融监管部门指定信息系统完整填报信息的正常经营类企业，地方金融监管局在报银保监会审核后分批分次进行公示，纳入监管名单，依法依规实施监管。二是督促非正常经营类和违法违规经营类企业整改，整改验收合格的，地方金融监管局可纳入监管名单。三是对于拒绝整改或整改验收不合格的非正常经营类企业，由地方金融监管局协调市场监管部门将其纳入异常经营名录，劝导其申请变更企业名称和业务范围、自愿注销或依法吊销营业执照。四是对于整改验收不合格或违法违规情节严重的违法违规经营类企业，由地方金融监管局依法处罚或取缔，涉嫌违法犯罪的及时移送公安机关依法查处。</w:t>
      </w:r>
    </w:p>
    <w:p>
      <w:pPr>
        <w:adjustRightInd w:val="0"/>
        <w:snapToGrid w:val="0"/>
        <w:spacing w:line="312" w:lineRule="auto"/>
        <w:ind w:firstLine="422" w:firstLineChars="200"/>
        <w:rPr>
          <w:rFonts w:hint="eastAsia" w:ascii="仿宋" w:hAnsi="仿宋" w:eastAsia="仿宋"/>
          <w:b/>
        </w:rPr>
      </w:pPr>
      <w:r>
        <w:rPr>
          <w:rFonts w:hint="eastAsia" w:ascii="仿宋" w:hAnsi="仿宋" w:eastAsia="仿宋"/>
          <w:b/>
        </w:rPr>
        <w:t>四、《通知》还规定了其他哪些内容？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《通知》还从市场准入、监督管理措施、监督管理责任以及优化营商环境方面作了规定。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市场准入方面，目前商业保理企业数量过多且良莠不齐，当前应以消化存量、整顿乱象、规范秩序为主；在市场准入管理办法出台前，原则上暂停商业保理企业登记注册；确有必要新设的，地方金融监管局要与市场监管部门建立会商机制，形成一致意见。同时，考虑到市场主体和自由贸易试验区设立商业保理企业的诉求，《通知》允许市场主体通过受让现有企业股权方式进入商业保理行业，并允许商业保理企业在省（区、市）范围内迁至自由贸易实验区。监督管理措施方面，赋予地方金融监管部门非现场监测和现场检查等监管手段，建立重大事项报告制度；根据风险监管需要，地方金融监管部门还可以采取窗口指导、提高信息报送频率、督促开展自查、做出风险提示和通报、进行监管约谈等监管措施。监督管理责任方面，明确银保监会和地方政府监管职责，建立分级监管和专职监管员制度，完善跨部门、跨地区监管协作机制。优化营商环境方面，从风险补偿、奖励、贴息等政策、与银行保险机构合作、行业自律等方面引导、支持商业保理企业发展，更好为中小微企业提供服务。</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