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23" w:name="_Toc5213"/>
      <w:r>
        <w:rPr>
          <w:rFonts w:hint="eastAsia"/>
        </w:rPr>
        <w:t>648--中国银保监会办公厅关于明确新开发银行风险权重等有关事项的通知</w:t>
      </w:r>
      <w:r>
        <w:rPr>
          <w:rFonts w:hint="eastAsia"/>
        </w:rPr>
        <w:br w:type="textWrapping"/>
      </w:r>
      <w:r>
        <w:rPr>
          <w:rFonts w:hint="eastAsia"/>
        </w:rPr>
        <w:t>（银保监办便函（2019）1884号）</w:t>
      </w:r>
      <w:bookmarkEnd w:id="2023"/>
    </w:p>
    <w:p>
      <w:pPr>
        <w:adjustRightInd w:val="0"/>
        <w:snapToGrid w:val="0"/>
        <w:spacing w:line="312" w:lineRule="auto"/>
        <w:rPr>
          <w:rFonts w:hint="eastAsia" w:ascii="仿宋" w:hAnsi="仿宋" w:eastAsia="仿宋" w:cs="宋体"/>
        </w:rPr>
      </w:pPr>
      <w:r>
        <w:rPr>
          <w:rFonts w:hint="eastAsia" w:ascii="仿宋" w:hAnsi="仿宋" w:eastAsia="仿宋" w:cs="宋体"/>
          <w:szCs w:val="21"/>
          <w:lang w:bidi="ar"/>
        </w:rPr>
        <w:t>各银保监局，各政策性银行、大型银行、股份制银行，邮储银行，外资银行: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为适应我国当前经济发展水平，进一步完善银行资本管理，现就有关事项通知如下: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一、商业银行对新开发银行（即金砖国家开发银行）的债权风险权重为20％。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二、商业银行对单家符合国家相关部门认定标准的微型和小型企业（或企业集团）风险暴露在500万至</w:t>
      </w:r>
      <w:r>
        <w:rPr>
          <w:rFonts w:hint="eastAsia" w:ascii="仿宋" w:hAnsi="仿宋" w:eastAsia="仿宋" w:cs="Calibri"/>
          <w:szCs w:val="21"/>
          <w:lang w:bidi="ar"/>
        </w:rPr>
        <w:t>1000</w:t>
      </w:r>
      <w:r>
        <w:rPr>
          <w:rFonts w:hint="eastAsia" w:ascii="仿宋" w:hAnsi="仿宋" w:eastAsia="仿宋" w:cs="宋体"/>
          <w:szCs w:val="21"/>
          <w:lang w:bidi="ar"/>
        </w:rPr>
        <w:t>万元（含）之间的债权风险权重为</w:t>
      </w:r>
      <w:r>
        <w:rPr>
          <w:rFonts w:hint="eastAsia" w:ascii="仿宋" w:hAnsi="仿宋" w:eastAsia="仿宋" w:cs="Calibri"/>
          <w:szCs w:val="21"/>
          <w:lang w:bidi="ar"/>
        </w:rPr>
        <w:t>75</w:t>
      </w:r>
      <w:r>
        <w:rPr>
          <w:rFonts w:hint="eastAsia" w:ascii="仿宋" w:hAnsi="仿宋" w:eastAsia="仿宋" w:cs="宋体"/>
          <w:szCs w:val="21"/>
          <w:lang w:bidi="ar"/>
        </w:rPr>
        <w:t>％。</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三、本通知自发布之日起生效。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联系人:于婧晗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 xml:space="preserve">联系方式:010-66279041 </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szCs w:val="21"/>
          <w:lang w:bidi="ar"/>
        </w:rPr>
        <w:t>中国保监会办公厅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szCs w:val="21"/>
          <w:lang w:bidi="ar"/>
        </w:rPr>
        <w:t>201年</w:t>
      </w:r>
      <w:r>
        <w:rPr>
          <w:rFonts w:hint="eastAsia" w:ascii="仿宋" w:hAnsi="仿宋" w:eastAsia="仿宋" w:cs="Calibri"/>
          <w:szCs w:val="21"/>
          <w:lang w:bidi="ar"/>
        </w:rPr>
        <w:t>12</w:t>
      </w:r>
      <w:r>
        <w:rPr>
          <w:rFonts w:hint="eastAsia" w:ascii="仿宋" w:hAnsi="仿宋" w:eastAsia="仿宋" w:cs="宋体"/>
          <w:szCs w:val="21"/>
          <w:lang w:bidi="ar"/>
        </w:rPr>
        <w:t>月</w:t>
      </w:r>
      <w:r>
        <w:rPr>
          <w:rFonts w:hint="eastAsia" w:ascii="仿宋" w:hAnsi="仿宋" w:eastAsia="仿宋" w:cs="Calibri"/>
          <w:szCs w:val="21"/>
          <w:lang w:bidi="ar"/>
        </w:rPr>
        <w:t>16</w:t>
      </w:r>
      <w:r>
        <w:rPr>
          <w:rFonts w:hint="eastAsia" w:ascii="仿宋" w:hAnsi="仿宋" w:eastAsia="仿宋" w:cs="宋体"/>
          <w:szCs w:val="21"/>
          <w:lang w:bidi="ar"/>
        </w:rPr>
        <w:t>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（此件发至银保监分局和地方法人银行、外国银行分行）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szCs w:val="21"/>
          <w:lang w:bidi="ar"/>
        </w:rPr>
        <w:t>抄送:统信部、普惠金融部、银行检查局、政策性银行部、大型银行部、股份制银行部、城市银行部、农村银行部、国际部</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