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10" w:name="_Toc16591"/>
      <w:r>
        <w:rPr>
          <w:rFonts w:hint="eastAsia"/>
        </w:rPr>
        <w:t>705--中国银保监会办公厅关于保险资金投资债转股投资计划有关事项的通知</w:t>
      </w:r>
      <w:r>
        <w:br w:type="textWrapping"/>
      </w:r>
      <w:r>
        <w:rPr>
          <w:rFonts w:hint="eastAsia"/>
        </w:rPr>
        <w:t>银保监办发〔2020〕82号</w:t>
      </w:r>
      <w:bookmarkEnd w:id="2110"/>
    </w:p>
    <w:p>
      <w:pPr>
        <w:widowControl/>
        <w:shd w:val="clear" w:color="auto" w:fill="FEFEFE"/>
        <w:adjustRightInd w:val="0"/>
        <w:snapToGrid w:val="0"/>
        <w:spacing w:line="312" w:lineRule="auto"/>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各保险集团（控股）公司、保险公司、保险资产管理公司：</w:t>
      </w:r>
    </w:p>
    <w:p>
      <w:pPr>
        <w:widowControl/>
        <w:shd w:val="clear" w:color="auto" w:fill="FEFEFE"/>
        <w:adjustRightInd w:val="0"/>
        <w:snapToGrid w:val="0"/>
        <w:spacing w:line="312" w:lineRule="auto"/>
        <w:ind w:firstLine="420" w:firstLineChars="200"/>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为提升服务实体经济质效，优化保险资产配置结构，按照市场化法治化原则，根据《保险资金运用管理办法》（中国保险监督管理委员会令2018年第1号）等规定，经银保监会同意，现就保险资金投资债转股投资计划有关事项通知如下：</w:t>
      </w:r>
    </w:p>
    <w:p>
      <w:pPr>
        <w:widowControl/>
        <w:shd w:val="clear" w:color="auto" w:fill="FEFEFE"/>
        <w:adjustRightInd w:val="0"/>
        <w:snapToGrid w:val="0"/>
        <w:spacing w:line="312" w:lineRule="auto"/>
        <w:ind w:firstLine="420" w:firstLineChars="200"/>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一、保险资金可以投资金融资产投资公司设立的债转股投资计划，</w:t>
      </w:r>
      <w:r>
        <w:rPr>
          <w:rFonts w:hint="eastAsia" w:ascii="仿宋" w:hAnsi="仿宋" w:eastAsia="仿宋"/>
          <w:color w:val="000000"/>
          <w:kern w:val="0"/>
          <w:shd w:val="clear" w:color="auto" w:fill="FEFEFE"/>
        </w:rPr>
        <w:t>纳入《关于保险资金投资有关金融产品的通知》（保监发〔2</w:t>
      </w:r>
      <w:r>
        <w:rPr>
          <w:rFonts w:hint="eastAsia" w:ascii="仿宋" w:hAnsi="仿宋" w:eastAsia="仿宋"/>
          <w:color w:val="333333"/>
          <w:kern w:val="0"/>
          <w:shd w:val="clear" w:color="auto" w:fill="FEFEFE"/>
        </w:rPr>
        <w:t>012〕91号）管理。</w:t>
      </w:r>
    </w:p>
    <w:p>
      <w:pPr>
        <w:widowControl/>
        <w:shd w:val="clear" w:color="auto" w:fill="FEFEFE"/>
        <w:adjustRightInd w:val="0"/>
        <w:snapToGrid w:val="0"/>
        <w:spacing w:line="312" w:lineRule="auto"/>
        <w:ind w:firstLine="420" w:firstLineChars="200"/>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二、保险资金投资的债转股投资计划，其发行人应当公司治理良好，经营审慎稳健，具有良好的守法合规记录和较强的投资管理能力。</w:t>
      </w:r>
    </w:p>
    <w:p>
      <w:pPr>
        <w:widowControl/>
        <w:shd w:val="clear" w:color="auto" w:fill="FEFEFE"/>
        <w:adjustRightInd w:val="0"/>
        <w:snapToGrid w:val="0"/>
        <w:spacing w:line="312" w:lineRule="auto"/>
        <w:ind w:firstLine="420" w:firstLineChars="200"/>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三、保险资金投资的债转股投资计划，应当符合下列条件：</w:t>
      </w:r>
    </w:p>
    <w:p>
      <w:pPr>
        <w:widowControl/>
        <w:shd w:val="clear" w:color="auto" w:fill="FEFEFE"/>
        <w:adjustRightInd w:val="0"/>
        <w:snapToGrid w:val="0"/>
        <w:spacing w:line="312" w:lineRule="auto"/>
        <w:ind w:firstLine="420" w:firstLineChars="200"/>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（一）债转股投资计划投资的市场化债转股资产原则上不低于债转股投资计划净资产的60%；</w:t>
      </w:r>
    </w:p>
    <w:p>
      <w:pPr>
        <w:widowControl/>
        <w:shd w:val="clear" w:color="auto" w:fill="FEFEFE"/>
        <w:adjustRightInd w:val="0"/>
        <w:snapToGrid w:val="0"/>
        <w:spacing w:line="312" w:lineRule="auto"/>
        <w:ind w:firstLine="420" w:firstLineChars="200"/>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（二）债转股投资计划可以投资的其他资产包括合同约定的存款（包括大额存单）、标准化债权类资产等银保监会认可的资产；</w:t>
      </w:r>
    </w:p>
    <w:p>
      <w:pPr>
        <w:widowControl/>
        <w:shd w:val="clear" w:color="auto" w:fill="FEFEFE"/>
        <w:adjustRightInd w:val="0"/>
        <w:snapToGrid w:val="0"/>
        <w:spacing w:line="312" w:lineRule="auto"/>
        <w:ind w:firstLine="420" w:firstLineChars="200"/>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（三）债转股投资计划进行份额分级的，应当为优先级份额。</w:t>
      </w:r>
    </w:p>
    <w:p>
      <w:pPr>
        <w:widowControl/>
        <w:shd w:val="clear" w:color="auto" w:fill="FEFEFE"/>
        <w:adjustRightInd w:val="0"/>
        <w:snapToGrid w:val="0"/>
        <w:spacing w:line="312" w:lineRule="auto"/>
        <w:ind w:firstLine="420" w:firstLineChars="200"/>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四、按照穿透原则，保险资金投资的债转股投资计划实施分类管理。债转股投资计划投资于权益类资产的比例不低于80%的，纳入权益类资产投资比例管理；其余债转股投资计划纳入其他金融资产投资比例管理。</w:t>
      </w:r>
    </w:p>
    <w:p>
      <w:pPr>
        <w:widowControl/>
        <w:shd w:val="clear" w:color="auto" w:fill="FEFEFE"/>
        <w:adjustRightInd w:val="0"/>
        <w:snapToGrid w:val="0"/>
        <w:spacing w:line="312" w:lineRule="auto"/>
        <w:ind w:firstLine="420" w:firstLineChars="200"/>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五、保险集团（控股）公司或保险公司投资同一债转股投资计划的投资金额，不得高于该产品规模的50%，保险集团（控股）公司、保险公司及其关联方投资同一债转股投资计划的投资金额，合计不得高于该产品规模的80%。</w:t>
      </w:r>
    </w:p>
    <w:p>
      <w:pPr>
        <w:widowControl/>
        <w:shd w:val="clear" w:color="auto" w:fill="FEFEFE"/>
        <w:adjustRightInd w:val="0"/>
        <w:snapToGrid w:val="0"/>
        <w:spacing w:line="312" w:lineRule="auto"/>
        <w:ind w:firstLine="420" w:firstLineChars="200"/>
        <w:jc w:val="right"/>
        <w:rPr>
          <w:rFonts w:hint="eastAsia" w:ascii="仿宋" w:hAnsi="仿宋" w:eastAsia="仿宋"/>
          <w:color w:val="333333"/>
          <w:kern w:val="0"/>
          <w:shd w:val="clear" w:color="auto" w:fill="FEFEFE"/>
        </w:rPr>
      </w:pPr>
      <w:r>
        <w:rPr>
          <w:rFonts w:hint="eastAsia" w:ascii="仿宋" w:hAnsi="仿宋" w:eastAsia="仿宋"/>
          <w:color w:val="333333"/>
          <w:kern w:val="0"/>
          <w:shd w:val="clear" w:color="auto" w:fill="FEFEFE"/>
        </w:rPr>
        <w:t>2020年9月4日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 xml:space="preserve"> </w:t>
      </w:r>
    </w:p>
    <w:p>
      <w:pPr>
        <w:rPr>
          <w:rFonts w:hint="eastAsia" w:ascii="仿宋" w:hAnsi="仿宋" w:eastAsia="仿宋"/>
        </w:rPr>
      </w:pPr>
      <w:r>
        <w:rPr>
          <w:rFonts w:ascii="仿宋" w:hAnsi="仿宋" w:eastAsia="仿宋"/>
        </w:rPr>
        <w:t xml:space="preserve"> </w:t>
      </w:r>
    </w:p>
    <w:p>
      <w:pPr>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