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472" w:name="_Toc12664"/>
      <w:r>
        <w:rPr>
          <w:rFonts w:hint="eastAsia"/>
        </w:rPr>
        <w:t>7</w:t>
      </w:r>
      <w:r>
        <w:t>72--</w:t>
      </w:r>
      <w:r>
        <w:rPr>
          <w:rFonts w:hint="eastAsia"/>
        </w:rPr>
        <w:t xml:space="preserve">中国银保监会办公厅关于印发意外伤害保险业务监管办法的通知 </w:t>
      </w:r>
      <w:r>
        <w:br w:type="textWrapping"/>
      </w:r>
      <w:r>
        <w:rPr>
          <w:rFonts w:hint="eastAsia"/>
        </w:rPr>
        <w:t>银保监办发〔2021〕106号</w:t>
      </w:r>
      <w:bookmarkEnd w:id="2472"/>
    </w:p>
    <w:p>
      <w:pPr>
        <w:widowControl/>
        <w:shd w:val="clear" w:color="auto" w:fill="FEFEFE"/>
        <w:adjustRightInd w:val="0"/>
        <w:snapToGrid w:val="0"/>
        <w:spacing w:line="312" w:lineRule="auto"/>
        <w:rPr>
          <w:rFonts w:hint="eastAsia" w:ascii="仿宋" w:hAnsi="仿宋" w:eastAsia="仿宋" w:cs="宋体"/>
          <w:color w:val="333333"/>
          <w:kern w:val="0"/>
          <w:szCs w:val="21"/>
        </w:rPr>
      </w:pPr>
      <w:r>
        <w:rPr>
          <w:rFonts w:hint="eastAsia" w:ascii="仿宋" w:hAnsi="仿宋" w:eastAsia="仿宋" w:cs="宋体"/>
          <w:color w:val="333333"/>
          <w:kern w:val="0"/>
          <w:szCs w:val="32"/>
        </w:rPr>
        <w:t>各银保监局，各保险公司：</w:t>
      </w:r>
    </w:p>
    <w:p>
      <w:pPr>
        <w:widowControl/>
        <w:shd w:val="clear" w:color="auto" w:fill="FEFEFE"/>
        <w:adjustRightInd w:val="0"/>
        <w:snapToGrid w:val="0"/>
        <w:spacing w:line="312" w:lineRule="auto"/>
        <w:ind w:firstLine="420" w:firstLineChars="200"/>
        <w:rPr>
          <w:rFonts w:hint="eastAsia" w:ascii="仿宋" w:hAnsi="仿宋" w:eastAsia="仿宋" w:cs="宋体"/>
          <w:color w:val="333333"/>
          <w:kern w:val="0"/>
          <w:szCs w:val="21"/>
        </w:rPr>
      </w:pPr>
      <w:r>
        <w:rPr>
          <w:rFonts w:hint="eastAsia" w:ascii="仿宋" w:hAnsi="仿宋" w:eastAsia="仿宋" w:cs="宋体"/>
          <w:color w:val="333333"/>
          <w:kern w:val="0"/>
          <w:szCs w:val="32"/>
        </w:rPr>
        <w:t>为进一步规范意外伤害保险经营行为，推动意外伤害保险业务高质量发展，经银保监会同意，现将《意外伤害保险业务监管办法》印发给你们，请遵照执行。</w:t>
      </w:r>
    </w:p>
    <w:p>
      <w:pPr>
        <w:widowControl/>
        <w:shd w:val="clear" w:color="auto" w:fill="FEFEFE"/>
        <w:adjustRightInd w:val="0"/>
        <w:snapToGrid w:val="0"/>
        <w:spacing w:line="312" w:lineRule="auto"/>
        <w:ind w:firstLine="420" w:firstLineChars="200"/>
        <w:jc w:val="right"/>
        <w:rPr>
          <w:rFonts w:hint="eastAsia" w:ascii="仿宋" w:hAnsi="仿宋" w:eastAsia="仿宋" w:cs="宋体"/>
          <w:color w:val="333333"/>
          <w:kern w:val="0"/>
          <w:szCs w:val="21"/>
        </w:rPr>
      </w:pPr>
      <w:r>
        <w:rPr>
          <w:rFonts w:hint="eastAsia" w:ascii="仿宋" w:hAnsi="仿宋" w:eastAsia="仿宋" w:cs="宋体"/>
          <w:color w:val="333333"/>
          <w:kern w:val="0"/>
          <w:szCs w:val="32"/>
        </w:rPr>
        <w:t>中国银保监会办公厅</w:t>
      </w:r>
    </w:p>
    <w:p>
      <w:pPr>
        <w:widowControl/>
        <w:shd w:val="clear" w:color="auto" w:fill="FEFEFE"/>
        <w:adjustRightInd w:val="0"/>
        <w:snapToGrid w:val="0"/>
        <w:spacing w:line="312" w:lineRule="auto"/>
        <w:ind w:firstLine="420" w:firstLineChars="200"/>
        <w:jc w:val="right"/>
        <w:rPr>
          <w:rFonts w:hint="eastAsia" w:ascii="仿宋" w:hAnsi="仿宋" w:eastAsia="仿宋" w:cs="宋体"/>
          <w:color w:val="333333"/>
          <w:kern w:val="0"/>
          <w:szCs w:val="21"/>
        </w:rPr>
      </w:pPr>
      <w:r>
        <w:rPr>
          <w:rFonts w:hint="eastAsia" w:ascii="仿宋" w:hAnsi="仿宋" w:eastAsia="仿宋" w:cs="宋体"/>
          <w:color w:val="333333"/>
          <w:kern w:val="0"/>
          <w:szCs w:val="32"/>
        </w:rPr>
        <w:t>2021年10月13日</w:t>
      </w:r>
    </w:p>
    <w:p>
      <w:pPr>
        <w:widowControl/>
        <w:shd w:val="clear" w:color="auto" w:fill="FEFEFE"/>
        <w:adjustRightInd w:val="0"/>
        <w:snapToGrid w:val="0"/>
        <w:spacing w:line="312" w:lineRule="auto"/>
        <w:ind w:firstLine="422" w:firstLineChars="200"/>
        <w:jc w:val="center"/>
        <w:rPr>
          <w:rFonts w:hint="eastAsia" w:ascii="仿宋" w:hAnsi="仿宋" w:eastAsia="仿宋" w:cs="Calibri"/>
          <w:b/>
          <w:bCs/>
          <w:color w:val="333333"/>
          <w:kern w:val="0"/>
          <w:szCs w:val="21"/>
        </w:rPr>
      </w:pPr>
      <w:r>
        <w:rPr>
          <w:rFonts w:hint="eastAsia" w:ascii="仿宋" w:hAnsi="仿宋" w:eastAsia="仿宋" w:cs="Calibri"/>
          <w:b/>
          <w:bCs/>
          <w:color w:val="333333"/>
          <w:kern w:val="0"/>
          <w:szCs w:val="32"/>
        </w:rPr>
        <w:t>意外伤害保险业务监管办法</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第一条  </w:t>
      </w:r>
      <w:r>
        <w:rPr>
          <w:rFonts w:hint="eastAsia" w:ascii="仿宋" w:hAnsi="仿宋" w:eastAsia="仿宋" w:cs="Calibri"/>
          <w:color w:val="333333"/>
          <w:kern w:val="0"/>
          <w:szCs w:val="32"/>
        </w:rPr>
        <w:t>为推动意外伤害保险高质量发展，规范意外伤害保险经营行为，保护意外伤害保险活动当事人合法权益，根据《中华人民共和国保险法》等法律、行政法规，制定本办法。</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第二条  </w:t>
      </w:r>
      <w:r>
        <w:rPr>
          <w:rFonts w:hint="eastAsia" w:ascii="仿宋" w:hAnsi="仿宋" w:eastAsia="仿宋" w:cs="Calibri"/>
          <w:color w:val="333333"/>
          <w:kern w:val="0"/>
          <w:szCs w:val="32"/>
        </w:rPr>
        <w:t>本办法所称意外伤害保险（以下简称意外险），是以被保险人因遭受意外伤害造成死亡、伤残或者</w:t>
      </w:r>
      <w:r>
        <w:rPr>
          <w:rFonts w:hint="eastAsia" w:ascii="仿宋" w:hAnsi="仿宋" w:eastAsia="仿宋" w:cs="Calibri"/>
          <w:color w:val="333333"/>
          <w:kern w:val="0"/>
          <w:szCs w:val="32"/>
          <w:shd w:val="clear" w:color="auto" w:fill="FFFFFF"/>
        </w:rPr>
        <w:t>发生保险合同约定的其他事故为给付保险金条件</w:t>
      </w:r>
      <w:r>
        <w:rPr>
          <w:rFonts w:hint="eastAsia" w:ascii="仿宋" w:hAnsi="仿宋" w:eastAsia="仿宋" w:cs="Calibri"/>
          <w:color w:val="333333"/>
          <w:kern w:val="0"/>
          <w:szCs w:val="32"/>
        </w:rPr>
        <w:t>的人身保险</w:t>
      </w:r>
      <w:r>
        <w:rPr>
          <w:rFonts w:hint="eastAsia" w:ascii="仿宋" w:hAnsi="仿宋" w:eastAsia="仿宋" w:cs="Calibri"/>
          <w:color w:val="403F3D"/>
          <w:kern w:val="0"/>
          <w:szCs w:val="32"/>
        </w:rPr>
        <w:t>。</w:t>
      </w:r>
      <w:r>
        <w:rPr>
          <w:rFonts w:hint="eastAsia" w:ascii="仿宋" w:hAnsi="仿宋" w:eastAsia="仿宋" w:cs="Calibri"/>
          <w:color w:val="333333"/>
          <w:kern w:val="0"/>
          <w:szCs w:val="32"/>
        </w:rPr>
        <w:t>本办法所称保险公司，是指依法设立的人身保险公司和财产保险公司。</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第三条  </w:t>
      </w:r>
      <w:r>
        <w:rPr>
          <w:rFonts w:hint="eastAsia" w:ascii="仿宋" w:hAnsi="仿宋" w:eastAsia="仿宋" w:cs="Calibri"/>
          <w:color w:val="333333"/>
          <w:kern w:val="0"/>
          <w:szCs w:val="32"/>
          <w:shd w:val="clear" w:color="auto" w:fill="FFFFFF"/>
        </w:rPr>
        <w:t>保险公司开展意外险业务，应严格遵守法律、</w:t>
      </w:r>
      <w:r>
        <w:rPr>
          <w:rFonts w:hint="eastAsia" w:ascii="仿宋" w:hAnsi="仿宋" w:eastAsia="仿宋" w:cs="Calibri"/>
          <w:color w:val="333333"/>
          <w:kern w:val="0"/>
          <w:szCs w:val="32"/>
        </w:rPr>
        <w:t>行政法规以及各项监管规定，遵循保险原理，准确把握回归本源、防范风险的总体要求，不得损害社会公共利益和保险消费者的合法权益。</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第二章  产品管理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第四条  </w:t>
      </w:r>
      <w:r>
        <w:rPr>
          <w:rFonts w:hint="eastAsia" w:ascii="仿宋" w:hAnsi="仿宋" w:eastAsia="仿宋" w:cs="Calibri"/>
          <w:color w:val="333333"/>
          <w:kern w:val="0"/>
          <w:szCs w:val="32"/>
        </w:rPr>
        <w:t>保险公司在厘定保险费时，应符合一般精算原理，采用公平、合理的定价假设。</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（一）保险公司在厘定保险期限一年以上的意外险保险费时，应根据公司历史投资回报率经验和对未来的合理预期及产品特性按照审慎原则确定预定利率。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（二）保险公司应以公司实际经验数据和行业公开发布的意外伤害经验发生率表等数据为基础，按照审慎原则确定预定发生率。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（三）各保单年度的预定附加费用率由保险公司自主设定，但平均附加费用率不得超过下表规定的上限。平均附加费用率是指保单各期预定附加费用精算现值之和占保单毛保费精算现值之和的比例。</w:t>
      </w:r>
    </w:p>
    <w:tbl>
      <w:tblPr>
        <w:tblStyle w:val="42"/>
        <w:tblW w:w="8044" w:type="dxa"/>
        <w:tblInd w:w="135" w:type="dxa"/>
        <w:tblLayout w:type="autofit"/>
        <w:tblCellMar>
          <w:top w:w="15" w:type="dxa"/>
          <w:left w:w="15" w:type="dxa"/>
          <w:bottom w:w="15" w:type="dxa"/>
          <w:right w:w="15" w:type="dxa"/>
        </w:tblCellMar>
      </w:tblPr>
      <w:tblGrid>
        <w:gridCol w:w="1453"/>
        <w:gridCol w:w="3180"/>
        <w:gridCol w:w="1489"/>
        <w:gridCol w:w="1922"/>
      </w:tblGrid>
      <w:tr>
        <w:tblPrEx>
          <w:tblCellMar>
            <w:top w:w="15" w:type="dxa"/>
            <w:left w:w="15" w:type="dxa"/>
            <w:bottom w:w="15" w:type="dxa"/>
            <w:right w:w="15" w:type="dxa"/>
          </w:tblCellMar>
        </w:tblPrEx>
        <w:trPr>
          <w:trHeight w:val="255" w:hRule="atLeast"/>
        </w:trPr>
        <w:tc>
          <w:tcPr>
            <w:tcW w:w="1453" w:type="dxa"/>
            <w:vMerge w:val="restart"/>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业务类型</w:t>
            </w:r>
          </w:p>
        </w:tc>
        <w:tc>
          <w:tcPr>
            <w:tcW w:w="3180" w:type="dxa"/>
            <w:vMerge w:val="restart"/>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保险期限一年及以下的意外险</w:t>
            </w:r>
          </w:p>
        </w:tc>
        <w:tc>
          <w:tcPr>
            <w:tcW w:w="3411" w:type="dxa"/>
            <w:gridSpan w:val="2"/>
            <w:tcBorders>
              <w:top w:val="single" w:color="auto" w:sz="8" w:space="0"/>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保险期限一年以上的意外险</w:t>
            </w:r>
          </w:p>
        </w:tc>
      </w:tr>
      <w:tr>
        <w:tblPrEx>
          <w:tblCellMar>
            <w:top w:w="15" w:type="dxa"/>
            <w:left w:w="15" w:type="dxa"/>
            <w:bottom w:w="15" w:type="dxa"/>
            <w:right w:w="15" w:type="dxa"/>
          </w:tblCellMar>
        </w:tblPrEx>
        <w:trPr>
          <w:trHeight w:val="255" w:hRule="atLeast"/>
        </w:trPr>
        <w:tc>
          <w:tcPr>
            <w:tcW w:w="0" w:type="auto"/>
            <w:vMerge w:val="continue"/>
            <w:tcBorders>
              <w:top w:val="single" w:color="auto" w:sz="8" w:space="0"/>
              <w:left w:val="single" w:color="auto" w:sz="8" w:space="0"/>
              <w:bottom w:val="single" w:color="auto" w:sz="8" w:space="0"/>
              <w:right w:val="single" w:color="auto" w:sz="8" w:space="0"/>
            </w:tcBorders>
            <w:vAlign w:val="center"/>
          </w:tcPr>
          <w:p>
            <w:pPr>
              <w:widowControl/>
              <w:adjustRightInd w:val="0"/>
              <w:snapToGrid w:val="0"/>
              <w:rPr>
                <w:rFonts w:hint="eastAsia" w:ascii="仿宋" w:hAnsi="仿宋" w:eastAsia="仿宋" w:cs="Calibri"/>
                <w:kern w:val="0"/>
                <w:szCs w:val="21"/>
              </w:rPr>
            </w:pPr>
          </w:p>
        </w:tc>
        <w:tc>
          <w:tcPr>
            <w:tcW w:w="0" w:type="auto"/>
            <w:vMerge w:val="continue"/>
            <w:tcBorders>
              <w:top w:val="single" w:color="auto" w:sz="8" w:space="0"/>
              <w:left w:val="nil"/>
              <w:bottom w:val="single" w:color="auto" w:sz="8" w:space="0"/>
              <w:right w:val="single" w:color="auto" w:sz="8" w:space="0"/>
            </w:tcBorders>
            <w:vAlign w:val="center"/>
          </w:tcPr>
          <w:p>
            <w:pPr>
              <w:widowControl/>
              <w:adjustRightInd w:val="0"/>
              <w:snapToGrid w:val="0"/>
              <w:rPr>
                <w:rFonts w:hint="eastAsia" w:ascii="仿宋" w:hAnsi="仿宋" w:eastAsia="仿宋" w:cs="Calibri"/>
                <w:kern w:val="0"/>
                <w:szCs w:val="21"/>
              </w:rPr>
            </w:pPr>
          </w:p>
        </w:tc>
        <w:tc>
          <w:tcPr>
            <w:tcW w:w="1489"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期交</w:t>
            </w:r>
          </w:p>
        </w:tc>
        <w:tc>
          <w:tcPr>
            <w:tcW w:w="19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趸交</w:t>
            </w:r>
          </w:p>
        </w:tc>
      </w:tr>
      <w:tr>
        <w:tblPrEx>
          <w:tblCellMar>
            <w:top w:w="15" w:type="dxa"/>
            <w:left w:w="15" w:type="dxa"/>
            <w:bottom w:w="15" w:type="dxa"/>
            <w:right w:w="15" w:type="dxa"/>
          </w:tblCellMar>
        </w:tblPrEx>
        <w:trPr>
          <w:trHeight w:val="255" w:hRule="atLeast"/>
        </w:trPr>
        <w:tc>
          <w:tcPr>
            <w:tcW w:w="14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个人</w:t>
            </w:r>
          </w:p>
        </w:tc>
        <w:tc>
          <w:tcPr>
            <w:tcW w:w="318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35%</w:t>
            </w:r>
          </w:p>
        </w:tc>
        <w:tc>
          <w:tcPr>
            <w:tcW w:w="1489"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35%</w:t>
            </w:r>
          </w:p>
        </w:tc>
        <w:tc>
          <w:tcPr>
            <w:tcW w:w="19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18%</w:t>
            </w:r>
          </w:p>
        </w:tc>
      </w:tr>
      <w:tr>
        <w:tblPrEx>
          <w:tblCellMar>
            <w:top w:w="15" w:type="dxa"/>
            <w:left w:w="15" w:type="dxa"/>
            <w:bottom w:w="15" w:type="dxa"/>
            <w:right w:w="15" w:type="dxa"/>
          </w:tblCellMar>
        </w:tblPrEx>
        <w:trPr>
          <w:trHeight w:val="255" w:hRule="atLeast"/>
        </w:trPr>
        <w:tc>
          <w:tcPr>
            <w:tcW w:w="1453"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团体</w:t>
            </w:r>
          </w:p>
        </w:tc>
        <w:tc>
          <w:tcPr>
            <w:tcW w:w="3180"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25%</w:t>
            </w:r>
          </w:p>
        </w:tc>
        <w:tc>
          <w:tcPr>
            <w:tcW w:w="1489"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15%</w:t>
            </w:r>
          </w:p>
        </w:tc>
        <w:tc>
          <w:tcPr>
            <w:tcW w:w="1922"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adjustRightInd w:val="0"/>
              <w:snapToGrid w:val="0"/>
              <w:rPr>
                <w:rFonts w:hint="eastAsia" w:ascii="仿宋" w:hAnsi="仿宋" w:eastAsia="仿宋" w:cs="Calibri"/>
                <w:kern w:val="0"/>
                <w:szCs w:val="21"/>
              </w:rPr>
            </w:pPr>
            <w:r>
              <w:rPr>
                <w:rFonts w:hint="eastAsia" w:ascii="仿宋" w:hAnsi="仿宋" w:eastAsia="仿宋" w:cs="Calibri"/>
                <w:kern w:val="0"/>
                <w:szCs w:val="32"/>
              </w:rPr>
              <w:t>8%</w:t>
            </w:r>
          </w:p>
        </w:tc>
      </w:tr>
    </w:tbl>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第五条  </w:t>
      </w:r>
      <w:r>
        <w:rPr>
          <w:rFonts w:hint="eastAsia" w:ascii="仿宋" w:hAnsi="仿宋" w:eastAsia="仿宋" w:cs="Calibri"/>
          <w:color w:val="333333"/>
          <w:kern w:val="0"/>
          <w:szCs w:val="32"/>
        </w:rPr>
        <w:t>保险期限一年及以下的意外险保单最低现金价值按照未满期净保费方法确定，最低现金价值=净保费×（1-保险合同已生效的天数/保险合同保险期限的天数），经过日期不足一日的按一日计算。</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保险期限一年以上的意外险保单最低现金价值按照《普通型人身保险精算规定》相关要求计算。</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第六条  </w:t>
      </w:r>
      <w:r>
        <w:rPr>
          <w:rFonts w:hint="eastAsia" w:ascii="仿宋" w:hAnsi="仿宋" w:eastAsia="仿宋" w:cs="Calibri"/>
          <w:color w:val="333333"/>
          <w:kern w:val="0"/>
          <w:szCs w:val="32"/>
        </w:rPr>
        <w:t>保险公司应根据《普通型人身保险精算规定》要求计提业务相关报告责任准备金。航空意外险应额外按自留毛保费收入的5%计提特别准备金，并逐年滚存。</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对保险期限为24小时以内（含24小时）的航空意外险，业务相关报告责任准备金不得低于按如下方法计算所得数值：保单责任准备金=过去滚动12个月航空意外险自留毛保费</w:t>
      </w:r>
      <w:r>
        <w:rPr>
          <w:rFonts w:ascii="仿宋" w:hAnsi="仿宋" w:eastAsia="仿宋" w:cs="Arial"/>
          <w:color w:val="333333"/>
          <w:kern w:val="0"/>
          <w:szCs w:val="32"/>
        </w:rPr>
        <w:t>×</w:t>
      </w:r>
      <w:r>
        <w:rPr>
          <w:rFonts w:hint="eastAsia" w:ascii="仿宋" w:hAnsi="仿宋" w:eastAsia="仿宋" w:cs="Calibri"/>
          <w:color w:val="333333"/>
          <w:kern w:val="0"/>
          <w:szCs w:val="32"/>
        </w:rPr>
        <w:t>2/365。</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第七条  </w:t>
      </w:r>
      <w:r>
        <w:rPr>
          <w:rFonts w:hint="eastAsia" w:ascii="仿宋" w:hAnsi="仿宋" w:eastAsia="仿宋" w:cs="Calibri"/>
          <w:color w:val="333333"/>
          <w:kern w:val="0"/>
          <w:szCs w:val="32"/>
        </w:rPr>
        <w:t>保险公司报送保险条款和保险费率审批或备案的，应根据保险条款和保险费率管理相关监管规定，提交精算报告。精算报告至少应包含：</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（一）数据来源和定价基础。</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定价方法和定价假设。对保险期限一年以上的意外险，还应包括利润测试参数、利润测试结果以及主要参数变化的敏感性分析；对可以进行费率浮动的意外险，还应包括费率浮动情况的详细说明，至少包含费率调整因子（系数）、计算方法、费率上下限等，并由总精算师遵循审慎原则签字确认。其中，费率调整因子（系数）应符合风险定价原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（三）业务相关报告责任准备金计算方法。</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（四）总精算师需要特别说明的内容。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（五）银保监会规定的其他内容。</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第八条  </w:t>
      </w:r>
      <w:r>
        <w:rPr>
          <w:rFonts w:hint="eastAsia" w:ascii="仿宋" w:hAnsi="仿宋" w:eastAsia="仿宋" w:cs="Calibri"/>
          <w:color w:val="333333"/>
          <w:kern w:val="0"/>
          <w:szCs w:val="32"/>
        </w:rPr>
        <w:t>保险公司将意外险产品报送备案的，提交的申请材料除保险条款、保险费率表、精算报告外，还应另外提供佣金费用支付相关材料，说明该产品预计向保险代理人、保险经纪人支付的年度佣金费用率上限，佣金费用率上限应根据产品实际情况科学合理确定。产品任一渠道的年度佣金费用率超出上表规定的平均附加费用率上限10个百分点以上的，应提供总经理签署的书面说明材料，材料应当包含佣金费用水平的合理性分析、业务经营依法合规的承诺、公平竞争的声明等。其中，佣金费用应据实列支，不得通过信息技术支持和服务类费用、账外激励费用等方式变相突破佣金费用率上限。</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第九条  </w:t>
      </w:r>
      <w:r>
        <w:rPr>
          <w:rFonts w:hint="eastAsia" w:ascii="仿宋" w:hAnsi="仿宋" w:eastAsia="仿宋" w:cs="Calibri"/>
          <w:color w:val="333333"/>
          <w:kern w:val="0"/>
          <w:szCs w:val="32"/>
        </w:rPr>
        <w:t>保险公司应于每年末开展意外险业务回溯工作，根据实际经营情况与精算假设之间的偏差程度，采取费率调整等整改措施，并于次年3月31日前完成整改。保险期限一年及以下的意外险产品，应回溯综合赔付率、费用率等指标；保险期限一年以上的意外险产品应回溯发生率、费用率、投资收益率和退保率等指标。</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第十条  </w:t>
      </w:r>
      <w:r>
        <w:rPr>
          <w:rFonts w:hint="eastAsia" w:ascii="仿宋" w:hAnsi="仿宋" w:eastAsia="仿宋" w:cs="Calibri"/>
          <w:color w:val="333333"/>
          <w:kern w:val="0"/>
          <w:szCs w:val="32"/>
        </w:rPr>
        <w:t>对年度累计原保险保费收入连续三年超过500万元的保险期限一年及以下的意外险产品，如过往三年再保后综合赔付率的平均值低于50%，保险公司应及时将费率调整至合理水平，并按相关要求重新报送审批或备案。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其中，再保后综合赔付率的计算公式为：（再保后赔款支出+再保后未决赔款准备金提转差）÷（再保后已赚保费）。</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第三章  销售管理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第十一条  </w:t>
      </w:r>
      <w:r>
        <w:rPr>
          <w:rFonts w:hint="eastAsia" w:ascii="仿宋" w:hAnsi="仿宋" w:eastAsia="仿宋" w:cs="Calibri"/>
          <w:color w:val="333333"/>
          <w:kern w:val="0"/>
          <w:szCs w:val="32"/>
        </w:rPr>
        <w:t>保险公司应建立严格的意外险业务销售管理制度，严格执行经审批或备案的保险条款和保险费率。</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第十二条  </w:t>
      </w:r>
      <w:r>
        <w:rPr>
          <w:rFonts w:hint="eastAsia" w:ascii="仿宋" w:hAnsi="仿宋" w:eastAsia="仿宋" w:cs="Calibri"/>
          <w:color w:val="333333"/>
          <w:kern w:val="0"/>
          <w:szCs w:val="32"/>
        </w:rPr>
        <w:t>保险公司通过保险中介机构销售意外险的,应在代理或合作协议中明确保险中介机构责任，确保保险中介机构在单证管理、出单管理、销售行为、收付费管理、客户信息管理、反洗钱等方面符合相关要求。</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保险公司通过保险中介机构展业，支付的中介费用应与实际中介服务相匹配，不得通过保险中介机构套取资金、为其他机构或者个人谋取不正当利益。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第十三条  </w:t>
      </w:r>
      <w:r>
        <w:rPr>
          <w:rFonts w:hint="eastAsia" w:ascii="仿宋" w:hAnsi="仿宋" w:eastAsia="仿宋" w:cs="Calibri"/>
          <w:color w:val="333333"/>
          <w:kern w:val="0"/>
          <w:szCs w:val="32"/>
        </w:rPr>
        <w:t>保险公司通过互联网开展意外险业务，应严格遵守互联网保险业务相关监管规定，加强自身风险管理能力和客户服务能力建设。</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第十四条  </w:t>
      </w:r>
      <w:r>
        <w:rPr>
          <w:rFonts w:hint="eastAsia" w:ascii="仿宋" w:hAnsi="仿宋" w:eastAsia="仿宋" w:cs="Calibri"/>
          <w:color w:val="333333"/>
          <w:kern w:val="0"/>
          <w:szCs w:val="32"/>
        </w:rPr>
        <w:t>保险公司以激活注册方式销售意外险，产品</w:t>
      </w:r>
      <w:r>
        <w:rPr>
          <w:rFonts w:hint="eastAsia" w:ascii="仿宋" w:hAnsi="仿宋" w:eastAsia="仿宋" w:cs="Calibri"/>
          <w:color w:val="000000"/>
          <w:kern w:val="0"/>
          <w:szCs w:val="32"/>
        </w:rPr>
        <w:t>保险期限应不少于7天，保险责任开始时间应在激活注册之后。同时，</w:t>
      </w:r>
      <w:r>
        <w:rPr>
          <w:rFonts w:hint="eastAsia" w:ascii="仿宋" w:hAnsi="仿宋" w:eastAsia="仿宋" w:cs="Calibri"/>
          <w:color w:val="333333"/>
          <w:kern w:val="0"/>
          <w:szCs w:val="32"/>
        </w:rPr>
        <w:t>应在产品相关资料上标明激活注册方式，并以显著字体或其他足以引起消费者注意的方式明示保单生效的条件。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第十五条  </w:t>
      </w:r>
      <w:r>
        <w:rPr>
          <w:rFonts w:hint="eastAsia" w:ascii="仿宋" w:hAnsi="仿宋" w:eastAsia="仿宋" w:cs="Calibri"/>
          <w:color w:val="333333"/>
          <w:kern w:val="0"/>
          <w:szCs w:val="32"/>
        </w:rPr>
        <w:t>保险公司应对航空意外险业务做好再保险安排，并在每年向银保监会及其派出机构上报的意外险业务经营情况报告中单独列明航空意外险的再保计划。</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第十六条  </w:t>
      </w:r>
      <w:r>
        <w:rPr>
          <w:rFonts w:hint="eastAsia" w:ascii="仿宋" w:hAnsi="仿宋" w:eastAsia="仿宋" w:cs="Calibri"/>
          <w:color w:val="333333"/>
          <w:kern w:val="0"/>
          <w:szCs w:val="32"/>
        </w:rPr>
        <w:t>保险公司赠送意外险，应遵守赠送保险相关监管规定，不得以赠险为由，变相开展违法违规业务或进行不正当竞争。</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第十七条  </w:t>
      </w:r>
      <w:r>
        <w:rPr>
          <w:rFonts w:hint="eastAsia" w:ascii="仿宋" w:hAnsi="仿宋" w:eastAsia="仿宋" w:cs="Calibri"/>
          <w:color w:val="333333"/>
          <w:kern w:val="0"/>
          <w:szCs w:val="32"/>
        </w:rPr>
        <w:t>保险公司开展业务活动应自觉维护市场竞争秩序，不得存在以下行为：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（一）直接或通过保险中介机构、其他机构强迫消费者订立保险合同；</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（二）在非保险类商品或服务上向不特定公众捆绑销售意外险；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（三）通过无合法资质的机构、未进行执业登记的个人销售意外险；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（四）委托保险公司经营区域外的保险中介机构或个人销售意外险，根据相关规定开展的互联网人身保险业务除外；</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（五）夸大保险保障范围、隐瞒责任免除、虚假宣传等误导投保人和被保险人的行为；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（六）混淆意外险与责任险，扰乱市场秩序，如通过特别约定改变保障范围，或未经被保险人或受益人授权将意外险赔款直接支付给事故责任方等；</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（七）通过保险中介机构为其他机构或者个人谋取不正当利益，或虚构中介业务套取资金；</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（八）对保险期限一年及以下的意外险，距保单到期日前间隔60天以上预收下一保单年度保费；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（九）向特定团体成员以外的个人销售团体意外险；</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（十）银保监会规定的其他违规行为。</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第四章  信息管理与披露</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第十八条  </w:t>
      </w:r>
      <w:r>
        <w:rPr>
          <w:rFonts w:hint="eastAsia" w:ascii="仿宋" w:hAnsi="仿宋" w:eastAsia="仿宋" w:cs="Calibri"/>
          <w:color w:val="333333"/>
          <w:kern w:val="0"/>
          <w:szCs w:val="32"/>
        </w:rPr>
        <w:t>保险公司应加强意外险业务的客户信息真实性管理，在遵守有关法律法规的前提下，明确要求保险销售人员以及保险中介机构按照意外险业务经营和客户服务的需要提供真实、完整的客户信息，并对其所提供客户信息的真实性、完整性进行审核。</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保险公司的核心业务系统、保险中介机构业务系统等有关业务系统应具备客户信息字段完整性和逻辑准确性的控制功能。</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第十九条  </w:t>
      </w:r>
      <w:r>
        <w:rPr>
          <w:rFonts w:hint="eastAsia" w:ascii="仿宋" w:hAnsi="仿宋" w:eastAsia="仿宋" w:cs="Calibri"/>
          <w:color w:val="333333"/>
          <w:kern w:val="0"/>
          <w:szCs w:val="32"/>
        </w:rPr>
        <w:t>保险公司应为客户提供电话、互联网、微信或其他方式的意外险保单信息实时查询服务，并在保险合同生效后，通过短信、电子邮件或即时通讯工具等方式告知投保人查询保单信息的途径和方法。保单信息查询服务应至少保留至保险责任结束后三个月。</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第二十条  </w:t>
      </w:r>
      <w:r>
        <w:rPr>
          <w:rFonts w:hint="eastAsia" w:ascii="仿宋" w:hAnsi="仿宋" w:eastAsia="仿宋" w:cs="Calibri"/>
          <w:color w:val="333333"/>
          <w:kern w:val="0"/>
          <w:szCs w:val="32"/>
        </w:rPr>
        <w:t>保险公司经营意外险业务，应按照法律、行政法规和监管的相关规定进行信息披露，不得有虚假记载、误导性陈述和重大遗漏。</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第二十一条  </w:t>
      </w:r>
      <w:r>
        <w:rPr>
          <w:rFonts w:hint="eastAsia" w:ascii="仿宋" w:hAnsi="仿宋" w:eastAsia="仿宋" w:cs="Calibri"/>
          <w:color w:val="333333"/>
          <w:kern w:val="0"/>
          <w:szCs w:val="32"/>
        </w:rPr>
        <w:t>保险公司对保险期限一年及以下的意外险产品采取费率调整措施，应至少在费率调整前30日，通过合理方式将具体时间、具体原因以及对存量投保人的后续服务措施等信息通知每一张有效保单的投保人，并为已购买产品的保险消费者在保险期限内继续提供保障服务。</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第二十二条  </w:t>
      </w:r>
      <w:r>
        <w:rPr>
          <w:rFonts w:hint="eastAsia" w:ascii="仿宋" w:hAnsi="仿宋" w:eastAsia="仿宋" w:cs="Calibri"/>
          <w:color w:val="333333"/>
          <w:kern w:val="0"/>
          <w:szCs w:val="32"/>
        </w:rPr>
        <w:t>自2023年起，保险公司应于每年4月30日前在其官方网站信息披露专栏对上一年度个人意外险业务经营情况进行公开披露。披露的内容包括：</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（一）上一年度个人意外险业务经营总体情况（披露格式参见附件1）。</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（二）上一年度航空意外险、借款人意外险、旅行意外险、交通工具意外险等四类险种每一款产品的经营数据（披露格式参见附件2）。</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（三）综合保险服务水平、社会责任担当等多个因素确定的典型理赔案例。</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第二十三条  </w:t>
      </w:r>
      <w:r>
        <w:rPr>
          <w:rFonts w:hint="eastAsia" w:ascii="仿宋" w:hAnsi="仿宋" w:eastAsia="仿宋" w:cs="Calibri"/>
          <w:color w:val="333333"/>
          <w:kern w:val="0"/>
          <w:szCs w:val="32"/>
        </w:rPr>
        <w:t>自2024年起，在前期个人意外险经营情况信息披露的基础上，全面实施意外险信息披露。</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全面实施个人意外险分产品信息披露，即将分险种信息披露范围从航空意外险、借款人意外险、旅行意外险、交通工具意外险等四个险种扩展到全险种，披露每一款个人意外险产品的经营数据（披露格式参见附件3）。</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（二）实施团体意外险信息披露，即增加披露团体意外险业务经营情况，披露的内容包括：</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1.上一年度团体意外险业务经营总体情况（披露格式参见附件4）。</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2.上一年度每一款团体意外险产品经营数据（披露格式参见附件5）。</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3.综合保险服务水平、社会责任担当等多个因素确定的典型理赔案例。</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第五章  监督管理</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第二十四条  </w:t>
      </w:r>
      <w:r>
        <w:rPr>
          <w:rFonts w:hint="eastAsia" w:ascii="仿宋" w:hAnsi="仿宋" w:eastAsia="仿宋" w:cs="Calibri"/>
          <w:color w:val="333333"/>
          <w:kern w:val="0"/>
          <w:szCs w:val="32"/>
        </w:rPr>
        <w:t>保险公司应于每年3月31日前，将上一年度的意外险业务经营情况报告报送至银保监会及其派出机构。意外险业务经营情况报告应至少包括以下内容: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（一）上一年度意外险业务经营总体情况。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（二）每款产品上一年度的经营情况。</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（三）航空意外险等再保险安排。</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（四）上一年度产品回溯情况，具体包含以下内容：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1.产品总体情况，涵盖上一年度累计原保险保费收入超过500万元的意外险产品；</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2.产品定价精算假设与实际经营情况之间的偏差；</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3.回溯指标出现较大偏差的原因，以及保险公司根据偏差程度采取的整改措施。</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（五）意外险业务经营情况附表（填报格式参见附件6、附件7）。</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第二十五条  </w:t>
      </w:r>
      <w:r>
        <w:rPr>
          <w:rFonts w:hint="eastAsia" w:ascii="仿宋" w:hAnsi="仿宋" w:eastAsia="仿宋" w:cs="Calibri"/>
          <w:color w:val="333333"/>
          <w:kern w:val="0"/>
          <w:szCs w:val="32"/>
        </w:rPr>
        <w:t>保险公司经营意外险业务存在下列情形之一的，银保监会及其派出机构可以根据《中华人民共和国保险法》及有关规定，采取有关监管措施或实施行政处罚。</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（一）产品开发设计不公平不合理，侵害消费者合法权益；</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（二）产品定价方法、参数假设、精算评估等不符合一般精算原理；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（三）费率浮动超出产品审批或备案材料中的费率区间，或明显偏离被保险人风险水平；</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（四）通过特别约定、签订补充协议等形式实质改变经审批或备案的保险条款、保险费率；</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（五）向保险代理人、保险经纪人支付的佣金费用率超过产品备案材料中的佣金费用率上限，或支付的佣金费用水平违反公平竞争原则；</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（六）未按规定调整产品费率，或调整后产品费率仍不合理；</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（七）未按规定进行信息披露，或披露的信息不真实、不完整；</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（八）存在本办法规定的禁止性行为；</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（九）银保监会认定的其他行为。</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第二十六条  </w:t>
      </w:r>
      <w:r>
        <w:rPr>
          <w:rFonts w:hint="eastAsia" w:ascii="仿宋" w:hAnsi="仿宋" w:eastAsia="仿宋" w:cs="Calibri"/>
          <w:color w:val="333333"/>
          <w:kern w:val="0"/>
          <w:szCs w:val="32"/>
        </w:rPr>
        <w:t>保险公司委托保险中介机构开展意外险业务违反本办法有关规定的，对保险公司和保险中介机构同查同处，同类业务保持统一的裁量标准。</w:t>
      </w:r>
    </w:p>
    <w:p>
      <w:pPr>
        <w:widowControl/>
        <w:shd w:val="clear" w:color="auto" w:fill="FEFEFE"/>
        <w:adjustRightInd w:val="0"/>
        <w:snapToGrid w:val="0"/>
        <w:spacing w:line="312" w:lineRule="auto"/>
        <w:ind w:firstLine="422" w:firstLineChars="200"/>
        <w:jc w:val="center"/>
        <w:rPr>
          <w:rFonts w:hint="eastAsia" w:ascii="仿宋" w:hAnsi="仿宋" w:eastAsia="仿宋" w:cs="Calibri"/>
          <w:b/>
          <w:color w:val="333333"/>
          <w:kern w:val="0"/>
          <w:szCs w:val="21"/>
        </w:rPr>
      </w:pPr>
      <w:r>
        <w:rPr>
          <w:rFonts w:hint="eastAsia" w:ascii="仿宋" w:hAnsi="仿宋" w:eastAsia="仿宋" w:cs="Calibri"/>
          <w:b/>
          <w:color w:val="333333"/>
          <w:kern w:val="0"/>
          <w:szCs w:val="32"/>
        </w:rPr>
        <w:t>第六章  附则</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第二十七条  </w:t>
      </w:r>
      <w:r>
        <w:rPr>
          <w:rFonts w:hint="eastAsia" w:ascii="仿宋" w:hAnsi="仿宋" w:eastAsia="仿宋" w:cs="Calibri"/>
          <w:color w:val="333333"/>
          <w:kern w:val="0"/>
          <w:szCs w:val="32"/>
        </w:rPr>
        <w:t>相互保险公司经营意外险业务，参照本办法执行。</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第二十八条  </w:t>
      </w:r>
      <w:r>
        <w:rPr>
          <w:rFonts w:hint="eastAsia" w:ascii="仿宋" w:hAnsi="仿宋" w:eastAsia="仿宋" w:cs="Calibri"/>
          <w:color w:val="333333"/>
          <w:kern w:val="0"/>
          <w:szCs w:val="32"/>
        </w:rPr>
        <w:t>银保监会对扶贫意外险、小额意外险等特殊业务另有规定的，从其规定。</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color w:val="333333"/>
          <w:kern w:val="0"/>
          <w:szCs w:val="32"/>
        </w:rPr>
        <w:t xml:space="preserve">第二十九条  </w:t>
      </w:r>
      <w:r>
        <w:rPr>
          <w:rFonts w:hint="eastAsia" w:ascii="仿宋" w:hAnsi="仿宋" w:eastAsia="仿宋" w:cs="宋体"/>
          <w:color w:val="333333"/>
          <w:kern w:val="0"/>
          <w:szCs w:val="32"/>
        </w:rPr>
        <w:t>保险公司经营保险期限一年及以下的意外险业务，可以不受《中国保监会关于强化人身保险产品监管工作的通知》（保监寿险〔2016〕199号）</w:t>
      </w:r>
      <w:r>
        <w:rPr>
          <w:rFonts w:hint="eastAsia" w:ascii="仿宋" w:hAnsi="仿宋" w:eastAsia="仿宋" w:cs="宋体"/>
          <w:bCs/>
          <w:color w:val="333333"/>
          <w:kern w:val="0"/>
          <w:szCs w:val="32"/>
        </w:rPr>
        <w:t>第四条</w:t>
      </w:r>
      <w:r>
        <w:rPr>
          <w:rFonts w:hint="eastAsia" w:ascii="仿宋" w:hAnsi="仿宋" w:eastAsia="仿宋" w:cs="宋体"/>
          <w:color w:val="333333"/>
          <w:kern w:val="0"/>
          <w:szCs w:val="32"/>
        </w:rPr>
        <w:t>第一款产品停售有关规定限制。</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第三十条  </w:t>
      </w:r>
      <w:r>
        <w:rPr>
          <w:rFonts w:hint="eastAsia" w:ascii="仿宋" w:hAnsi="仿宋" w:eastAsia="仿宋" w:cs="Calibri"/>
          <w:color w:val="333333"/>
          <w:kern w:val="0"/>
          <w:szCs w:val="32"/>
        </w:rPr>
        <w:t>本办法由银保监会负责解释。</w:t>
      </w:r>
    </w:p>
    <w:p>
      <w:pPr>
        <w:widowControl/>
        <w:shd w:val="clear" w:color="auto" w:fill="FEFEFE"/>
        <w:adjustRightInd w:val="0"/>
        <w:snapToGrid w:val="0"/>
        <w:spacing w:line="312" w:lineRule="auto"/>
        <w:ind w:firstLine="422" w:firstLineChars="200"/>
        <w:rPr>
          <w:rFonts w:hint="eastAsia" w:ascii="仿宋" w:hAnsi="仿宋" w:eastAsia="仿宋" w:cs="Calibri"/>
          <w:color w:val="333333"/>
          <w:kern w:val="0"/>
          <w:szCs w:val="21"/>
        </w:rPr>
      </w:pPr>
      <w:r>
        <w:rPr>
          <w:rFonts w:hint="eastAsia" w:ascii="仿宋" w:hAnsi="仿宋" w:eastAsia="仿宋" w:cs="Calibri"/>
          <w:b/>
          <w:color w:val="333333"/>
          <w:kern w:val="0"/>
          <w:szCs w:val="32"/>
        </w:rPr>
        <w:t xml:space="preserve">第三十一条  </w:t>
      </w:r>
      <w:r>
        <w:rPr>
          <w:rFonts w:hint="eastAsia" w:ascii="仿宋" w:hAnsi="仿宋" w:eastAsia="仿宋" w:cs="Calibri"/>
          <w:color w:val="333333"/>
          <w:kern w:val="0"/>
          <w:szCs w:val="32"/>
        </w:rPr>
        <w:t>本办法自2022年1月1日起施行。《关于短期意外伤害保险产品管理有关问题的复函》（保监函〔2003〕1076号）、《关于加强航空意外保险管理有关事项的通知》（保监发〔2007〕94号）、《关于印发&lt;人身意外伤害保险业务经营标准&gt;的通知》（保监发〔2009〕91号）、《关于银行为信用卡客户赠送意外伤害保险有关问题的复函》（保监厅函〔2010〕34号）、《关于规范激活注册式意外险业务经营行为的通知》（保监寿险〔2010〕921号）及《关于意外险出单管理有关问题的复函》（保监寿险〔2010〕1066号）自本办法施行之日起废止。</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《关于人身保险伤残程度与保险金给付比例有关事项的通知》（保监发〔2013〕46号）</w:t>
      </w:r>
      <w:r>
        <w:rPr>
          <w:rFonts w:hint="eastAsia" w:ascii="仿宋" w:hAnsi="仿宋" w:eastAsia="仿宋" w:cs="Calibri"/>
          <w:b/>
          <w:color w:val="333333"/>
          <w:kern w:val="0"/>
          <w:szCs w:val="32"/>
        </w:rPr>
        <w:t xml:space="preserve">第四条  </w:t>
      </w:r>
      <w:r>
        <w:rPr>
          <w:rFonts w:hint="eastAsia" w:ascii="仿宋" w:hAnsi="仿宋" w:eastAsia="仿宋" w:cs="Calibri"/>
          <w:color w:val="333333"/>
          <w:kern w:val="0"/>
          <w:szCs w:val="32"/>
        </w:rPr>
        <w:t>规定自本办法施行之日起停止执行。</w:t>
      </w:r>
    </w:p>
    <w:p>
      <w:pPr>
        <w:widowControl/>
        <w:shd w:val="clear" w:color="auto" w:fill="FEFEFE"/>
        <w:adjustRightInd w:val="0"/>
        <w:snapToGrid w:val="0"/>
        <w:spacing w:line="312" w:lineRule="auto"/>
        <w:ind w:firstLine="422" w:firstLineChars="200"/>
        <w:rPr>
          <w:rFonts w:hint="eastAsia" w:ascii="仿宋" w:hAnsi="仿宋" w:eastAsia="仿宋" w:cs="宋体"/>
          <w:color w:val="333333"/>
          <w:kern w:val="0"/>
          <w:szCs w:val="21"/>
        </w:rPr>
      </w:pPr>
      <w:r>
        <w:rPr>
          <w:rFonts w:hint="eastAsia" w:ascii="仿宋" w:hAnsi="仿宋" w:eastAsia="仿宋" w:cs="宋体"/>
          <w:b/>
          <w:color w:val="333333"/>
          <w:kern w:val="0"/>
          <w:szCs w:val="32"/>
        </w:rPr>
        <w:t xml:space="preserve">第三十二条  </w:t>
      </w:r>
      <w:r>
        <w:rPr>
          <w:rFonts w:hint="eastAsia" w:ascii="仿宋" w:hAnsi="仿宋" w:eastAsia="仿宋" w:cs="宋体"/>
          <w:color w:val="333333"/>
          <w:kern w:val="0"/>
          <w:szCs w:val="32"/>
        </w:rPr>
        <w:t>本办法发布之日起至2021年12月31日，新报送审批或备案的意外险产品须严格遵照本办法要求执行。本办法发布前已经审批或备案的意外险产品，第十条、第二十一条及第二十五条第六款规定从2023年1月1日起执行，不符合其他规定的，保险公司应于2022年6月30日前完成整改。</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2"/>
        </w:rPr>
        <w:t>附件：1.个人意外伤害保险业务年度经营数据</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2.个人意外伤害保险产品年度经营数据（四类产品）</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3.个人意外伤害保险产品年度经营数据</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4.团体意外伤害保险业务年度经营数据</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5.团体意外伤害保险产品年度经营数据</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6.意外伤害保险业务年度经营数据</w:t>
      </w:r>
    </w:p>
    <w:p>
      <w:pPr>
        <w:widowControl/>
        <w:shd w:val="clear" w:color="auto" w:fill="FEFEFE"/>
        <w:adjustRightInd w:val="0"/>
        <w:snapToGrid w:val="0"/>
        <w:spacing w:line="312" w:lineRule="auto"/>
        <w:ind w:left="1033" w:leftChars="492" w:firstLine="1"/>
        <w:rPr>
          <w:rFonts w:hint="eastAsia" w:ascii="仿宋" w:hAnsi="仿宋" w:eastAsia="仿宋" w:cs="宋体"/>
          <w:color w:val="333333"/>
          <w:kern w:val="0"/>
          <w:szCs w:val="21"/>
        </w:rPr>
      </w:pPr>
      <w:r>
        <w:rPr>
          <w:rFonts w:hint="eastAsia" w:ascii="仿宋" w:hAnsi="仿宋" w:eastAsia="仿宋" w:cs="宋体"/>
          <w:color w:val="333333"/>
          <w:kern w:val="0"/>
          <w:szCs w:val="32"/>
        </w:rPr>
        <w:t>7.意外伤害保险产品年度经营数据</w:t>
      </w:r>
    </w:p>
    <w:p>
      <w:pPr>
        <w:adjustRightInd w:val="0"/>
        <w:snapToGrid w:val="0"/>
        <w:spacing w:line="312" w:lineRule="auto"/>
        <w:ind w:firstLine="420" w:firstLineChars="200"/>
        <w:rPr>
          <w:rFonts w:hint="eastAsia" w:ascii="仿宋" w:hAnsi="仿宋" w:eastAsia="仿宋"/>
        </w:rPr>
        <w:sectPr>
          <w:pgSz w:w="11906" w:h="16838"/>
          <w:pgMar w:top="1440" w:right="1800" w:bottom="1440" w:left="1800" w:header="851" w:footer="992" w:gutter="0"/>
          <w:cols w:space="425" w:num="1"/>
          <w:docGrid w:type="lines" w:linePitch="312" w:charSpace="0"/>
        </w:sectPr>
      </w:pPr>
    </w:p>
    <w:tbl>
      <w:tblPr>
        <w:tblStyle w:val="42"/>
        <w:tblW w:w="14114" w:type="dxa"/>
        <w:tblInd w:w="0" w:type="dxa"/>
        <w:tblLayout w:type="autofit"/>
        <w:tblCellMar>
          <w:top w:w="0" w:type="dxa"/>
          <w:left w:w="108" w:type="dxa"/>
          <w:bottom w:w="0" w:type="dxa"/>
          <w:right w:w="108" w:type="dxa"/>
        </w:tblCellMar>
      </w:tblPr>
      <w:tblGrid>
        <w:gridCol w:w="1300"/>
        <w:gridCol w:w="2953"/>
        <w:gridCol w:w="2126"/>
        <w:gridCol w:w="2410"/>
        <w:gridCol w:w="1984"/>
        <w:gridCol w:w="3119"/>
        <w:gridCol w:w="222"/>
      </w:tblGrid>
      <w:tr>
        <w:tblPrEx>
          <w:tblCellMar>
            <w:top w:w="0" w:type="dxa"/>
            <w:left w:w="108" w:type="dxa"/>
            <w:bottom w:w="0" w:type="dxa"/>
            <w:right w:w="108" w:type="dxa"/>
          </w:tblCellMar>
        </w:tblPrEx>
        <w:trPr>
          <w:gridAfter w:val="1"/>
          <w:wAfter w:w="222" w:type="dxa"/>
          <w:trHeight w:val="405" w:hRule="atLeast"/>
        </w:trPr>
        <w:tc>
          <w:tcPr>
            <w:tcW w:w="1300"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附件1</w:t>
            </w:r>
          </w:p>
        </w:tc>
        <w:tc>
          <w:tcPr>
            <w:tcW w:w="2953"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p>
        </w:tc>
        <w:tc>
          <w:tcPr>
            <w:tcW w:w="2126" w:type="dxa"/>
            <w:tcBorders>
              <w:top w:val="nil"/>
              <w:left w:val="nil"/>
              <w:bottom w:val="nil"/>
              <w:right w:val="nil"/>
            </w:tcBorders>
            <w:shd w:val="clear" w:color="auto" w:fill="auto"/>
            <w:noWrap/>
            <w:vAlign w:val="center"/>
          </w:tcPr>
          <w:p>
            <w:pPr>
              <w:widowControl/>
              <w:rPr>
                <w:rFonts w:hint="eastAsia" w:ascii="仿宋" w:hAnsi="仿宋" w:eastAsia="仿宋" w:cs="Times New Roman"/>
                <w:kern w:val="0"/>
                <w:szCs w:val="21"/>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98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311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gridAfter w:val="1"/>
          <w:wAfter w:w="222" w:type="dxa"/>
          <w:trHeight w:val="450" w:hRule="atLeast"/>
        </w:trPr>
        <w:tc>
          <w:tcPr>
            <w:tcW w:w="13892" w:type="dxa"/>
            <w:gridSpan w:val="6"/>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Cs w:val="21"/>
              </w:rPr>
            </w:pPr>
            <w:r>
              <w:rPr>
                <w:rFonts w:hint="eastAsia" w:ascii="仿宋" w:hAnsi="仿宋" w:eastAsia="仿宋" w:cs="宋体"/>
                <w:b/>
                <w:bCs/>
                <w:color w:val="000000"/>
                <w:kern w:val="0"/>
                <w:szCs w:val="21"/>
              </w:rPr>
              <w:t>个人意外伤害保险业务年度经营数据</w:t>
            </w:r>
          </w:p>
        </w:tc>
      </w:tr>
      <w:tr>
        <w:tblPrEx>
          <w:tblCellMar>
            <w:top w:w="0" w:type="dxa"/>
            <w:left w:w="108" w:type="dxa"/>
            <w:bottom w:w="0" w:type="dxa"/>
            <w:right w:w="108" w:type="dxa"/>
          </w:tblCellMar>
        </w:tblPrEx>
        <w:trPr>
          <w:gridAfter w:val="1"/>
          <w:wAfter w:w="222" w:type="dxa"/>
          <w:trHeight w:val="210" w:hRule="atLeast"/>
        </w:trPr>
        <w:tc>
          <w:tcPr>
            <w:tcW w:w="1300"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Cs w:val="21"/>
              </w:rPr>
            </w:pPr>
          </w:p>
        </w:tc>
        <w:tc>
          <w:tcPr>
            <w:tcW w:w="2953"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12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98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311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gridAfter w:val="1"/>
          <w:wAfter w:w="222" w:type="dxa"/>
          <w:trHeight w:val="402" w:hRule="atLeast"/>
        </w:trPr>
        <w:tc>
          <w:tcPr>
            <w:tcW w:w="425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项目</w:t>
            </w:r>
          </w:p>
        </w:tc>
        <w:tc>
          <w:tcPr>
            <w:tcW w:w="212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保单件数</w:t>
            </w:r>
            <w:r>
              <w:rPr>
                <w:rFonts w:hint="eastAsia" w:ascii="仿宋" w:hAnsi="仿宋" w:eastAsia="仿宋" w:cs="宋体"/>
                <w:color w:val="000000"/>
                <w:kern w:val="0"/>
                <w:szCs w:val="21"/>
              </w:rPr>
              <w:br w:type="textWrapping"/>
            </w:r>
            <w:r>
              <w:rPr>
                <w:rFonts w:hint="eastAsia" w:ascii="仿宋" w:hAnsi="仿宋" w:eastAsia="仿宋" w:cs="宋体"/>
                <w:color w:val="000000"/>
                <w:kern w:val="0"/>
                <w:szCs w:val="21"/>
              </w:rPr>
              <w:t>（万件）</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原保险保费收入</w:t>
            </w:r>
            <w:r>
              <w:rPr>
                <w:rFonts w:hint="eastAsia" w:ascii="仿宋" w:hAnsi="仿宋" w:eastAsia="仿宋" w:cs="宋体"/>
                <w:color w:val="000000"/>
                <w:kern w:val="0"/>
                <w:szCs w:val="21"/>
              </w:rPr>
              <w:br w:type="textWrapping"/>
            </w:r>
            <w:r>
              <w:rPr>
                <w:rFonts w:hint="eastAsia" w:ascii="仿宋" w:hAnsi="仿宋" w:eastAsia="仿宋" w:cs="宋体"/>
                <w:color w:val="000000"/>
                <w:kern w:val="0"/>
                <w:szCs w:val="21"/>
              </w:rPr>
              <w:t>（万元）</w:t>
            </w:r>
          </w:p>
        </w:tc>
        <w:tc>
          <w:tcPr>
            <w:tcW w:w="198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期末有效保险金额  （万元）</w:t>
            </w:r>
          </w:p>
        </w:tc>
        <w:tc>
          <w:tcPr>
            <w:tcW w:w="311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赔款支出</w:t>
            </w:r>
          </w:p>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（万元）</w:t>
            </w:r>
          </w:p>
        </w:tc>
      </w:tr>
      <w:tr>
        <w:tblPrEx>
          <w:tblCellMar>
            <w:top w:w="0" w:type="dxa"/>
            <w:left w:w="108" w:type="dxa"/>
            <w:bottom w:w="0" w:type="dxa"/>
            <w:right w:w="108" w:type="dxa"/>
          </w:tblCellMar>
        </w:tblPrEx>
        <w:trPr>
          <w:trHeight w:val="402" w:hRule="atLeast"/>
        </w:trPr>
        <w:tc>
          <w:tcPr>
            <w:tcW w:w="4253"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hint="eastAsia" w:ascii="仿宋" w:hAnsi="仿宋" w:eastAsia="仿宋" w:cs="宋体"/>
                <w:color w:val="000000"/>
                <w:kern w:val="0"/>
                <w:szCs w:val="21"/>
              </w:rPr>
            </w:pPr>
          </w:p>
        </w:tc>
        <w:tc>
          <w:tcPr>
            <w:tcW w:w="212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4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198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311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22"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Cs w:val="21"/>
              </w:rPr>
            </w:pPr>
          </w:p>
        </w:tc>
      </w:tr>
      <w:tr>
        <w:tblPrEx>
          <w:tblCellMar>
            <w:top w:w="0" w:type="dxa"/>
            <w:left w:w="108" w:type="dxa"/>
            <w:bottom w:w="0" w:type="dxa"/>
            <w:right w:w="108" w:type="dxa"/>
          </w:tblCellMar>
        </w:tblPrEx>
        <w:trPr>
          <w:trHeight w:val="402" w:hRule="atLeast"/>
        </w:trPr>
        <w:tc>
          <w:tcPr>
            <w:tcW w:w="4253"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合计</w:t>
            </w:r>
          </w:p>
        </w:tc>
        <w:tc>
          <w:tcPr>
            <w:tcW w:w="2126"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销售渠道</w:t>
            </w: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一、公司直销</w:t>
            </w:r>
          </w:p>
        </w:tc>
        <w:tc>
          <w:tcPr>
            <w:tcW w:w="2126"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二、保险专业代理</w:t>
            </w:r>
          </w:p>
        </w:tc>
        <w:tc>
          <w:tcPr>
            <w:tcW w:w="2126"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三、保险经纪</w:t>
            </w:r>
          </w:p>
        </w:tc>
        <w:tc>
          <w:tcPr>
            <w:tcW w:w="212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四、银行类保险兼业代理</w:t>
            </w:r>
          </w:p>
        </w:tc>
        <w:tc>
          <w:tcPr>
            <w:tcW w:w="212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五、互联网企业代理渠道</w:t>
            </w:r>
          </w:p>
        </w:tc>
        <w:tc>
          <w:tcPr>
            <w:tcW w:w="212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六、其他兼业代理渠道</w:t>
            </w:r>
          </w:p>
        </w:tc>
        <w:tc>
          <w:tcPr>
            <w:tcW w:w="212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Cs w:val="21"/>
              </w:rPr>
            </w:pPr>
          </w:p>
        </w:tc>
        <w:tc>
          <w:tcPr>
            <w:tcW w:w="2953"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七、其他渠道</w:t>
            </w:r>
          </w:p>
        </w:tc>
        <w:tc>
          <w:tcPr>
            <w:tcW w:w="212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3119"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270" w:hRule="atLeast"/>
        </w:trPr>
        <w:tc>
          <w:tcPr>
            <w:tcW w:w="1300" w:type="dxa"/>
            <w:tcBorders>
              <w:top w:val="nil"/>
              <w:left w:val="nil"/>
              <w:bottom w:val="nil"/>
              <w:right w:val="nil"/>
            </w:tcBorders>
            <w:shd w:val="clear" w:color="auto" w:fill="auto"/>
          </w:tcPr>
          <w:p>
            <w:pPr>
              <w:widowControl/>
              <w:jc w:val="right"/>
              <w:rPr>
                <w:rFonts w:hint="eastAsia" w:ascii="仿宋" w:hAnsi="仿宋" w:eastAsia="仿宋" w:cs="宋体"/>
                <w:color w:val="000000"/>
                <w:kern w:val="0"/>
                <w:szCs w:val="21"/>
              </w:rPr>
            </w:pPr>
            <w:r>
              <w:rPr>
                <w:rFonts w:hint="eastAsia" w:ascii="仿宋" w:hAnsi="仿宋" w:eastAsia="仿宋" w:cs="宋体"/>
                <w:color w:val="000000"/>
                <w:kern w:val="0"/>
                <w:szCs w:val="21"/>
              </w:rPr>
              <w:t>备注：</w:t>
            </w:r>
          </w:p>
        </w:tc>
        <w:tc>
          <w:tcPr>
            <w:tcW w:w="12592" w:type="dxa"/>
            <w:gridSpan w:val="5"/>
            <w:tcBorders>
              <w:top w:val="single" w:color="auto" w:sz="4" w:space="0"/>
              <w:left w:val="nil"/>
              <w:bottom w:val="nil"/>
              <w:right w:val="nil"/>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1.本表</w:t>
            </w:r>
            <w:r>
              <w:rPr>
                <w:rFonts w:hint="eastAsia" w:ascii="仿宋" w:hAnsi="仿宋" w:eastAsia="仿宋" w:cs="宋体"/>
                <w:b/>
                <w:bCs/>
                <w:color w:val="000000"/>
                <w:kern w:val="0"/>
                <w:szCs w:val="21"/>
              </w:rPr>
              <w:t>按年度统计</w:t>
            </w:r>
            <w:r>
              <w:rPr>
                <w:rFonts w:hint="eastAsia" w:ascii="仿宋" w:hAnsi="仿宋" w:eastAsia="仿宋" w:cs="宋体"/>
                <w:color w:val="000000"/>
                <w:kern w:val="0"/>
                <w:szCs w:val="21"/>
              </w:rPr>
              <w:t>，统计范围为上一年度开展的个人意外险业务。</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300"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2.保单件数指上一年度销售的个人意外险保单件数。</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300"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3.期末有效保险金额为上一年度末的有效保险金额，保险金额按保单签订的最高给付额统计。</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285"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4.赔款支出为再保后数据。</w:t>
            </w:r>
          </w:p>
        </w:tc>
        <w:tc>
          <w:tcPr>
            <w:tcW w:w="222" w:type="dxa"/>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trHeight w:val="270" w:hRule="atLeast"/>
        </w:trPr>
        <w:tc>
          <w:tcPr>
            <w:tcW w:w="1300" w:type="dxa"/>
            <w:tcBorders>
              <w:top w:val="nil"/>
              <w:left w:val="nil"/>
              <w:bottom w:val="nil"/>
              <w:right w:val="nil"/>
            </w:tcBorders>
            <w:shd w:val="clear" w:color="auto" w:fill="auto"/>
            <w:noWrap/>
            <w:vAlign w:val="center"/>
          </w:tcPr>
          <w:p>
            <w:pPr>
              <w:widowControl/>
              <w:jc w:val="left"/>
              <w:rPr>
                <w:rFonts w:hint="eastAsia" w:ascii="仿宋" w:hAnsi="仿宋" w:eastAsia="仿宋" w:cs="宋体"/>
                <w:color w:val="000000"/>
                <w:kern w:val="0"/>
                <w:szCs w:val="21"/>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Cs w:val="21"/>
              </w:rPr>
            </w:pPr>
            <w:r>
              <w:rPr>
                <w:rFonts w:hint="eastAsia" w:ascii="仿宋" w:hAnsi="仿宋" w:eastAsia="仿宋" w:cs="宋体"/>
                <w:color w:val="000000"/>
                <w:kern w:val="0"/>
                <w:szCs w:val="21"/>
              </w:rPr>
              <w:t>5.本表自2023年起每年披露，首次披露时间为2023年4月30日前。</w:t>
            </w:r>
          </w:p>
        </w:tc>
        <w:tc>
          <w:tcPr>
            <w:tcW w:w="222" w:type="dxa"/>
            <w:vAlign w:val="center"/>
          </w:tcPr>
          <w:p>
            <w:pPr>
              <w:widowControl/>
              <w:jc w:val="left"/>
              <w:rPr>
                <w:rFonts w:hint="eastAsia" w:ascii="仿宋" w:hAnsi="仿宋" w:eastAsia="仿宋" w:cs="Times New Roman"/>
                <w:kern w:val="0"/>
                <w:szCs w:val="21"/>
              </w:rPr>
            </w:pPr>
          </w:p>
        </w:tc>
      </w:tr>
    </w:tbl>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tbl>
      <w:tblPr>
        <w:tblStyle w:val="42"/>
        <w:tblW w:w="12271" w:type="dxa"/>
        <w:jc w:val="center"/>
        <w:tblLayout w:type="autofit"/>
        <w:tblCellMar>
          <w:top w:w="0" w:type="dxa"/>
          <w:left w:w="108" w:type="dxa"/>
          <w:bottom w:w="0" w:type="dxa"/>
          <w:right w:w="108" w:type="dxa"/>
        </w:tblCellMar>
      </w:tblPr>
      <w:tblGrid>
        <w:gridCol w:w="1220"/>
        <w:gridCol w:w="765"/>
        <w:gridCol w:w="567"/>
        <w:gridCol w:w="283"/>
        <w:gridCol w:w="993"/>
        <w:gridCol w:w="1275"/>
        <w:gridCol w:w="142"/>
        <w:gridCol w:w="1276"/>
        <w:gridCol w:w="1276"/>
        <w:gridCol w:w="812"/>
        <w:gridCol w:w="463"/>
        <w:gridCol w:w="709"/>
        <w:gridCol w:w="236"/>
        <w:gridCol w:w="473"/>
        <w:gridCol w:w="284"/>
        <w:gridCol w:w="236"/>
        <w:gridCol w:w="1039"/>
        <w:gridCol w:w="222"/>
      </w:tblGrid>
      <w:tr>
        <w:tblPrEx>
          <w:tblCellMar>
            <w:top w:w="0" w:type="dxa"/>
            <w:left w:w="108" w:type="dxa"/>
            <w:bottom w:w="0" w:type="dxa"/>
            <w:right w:w="108" w:type="dxa"/>
          </w:tblCellMar>
        </w:tblPrEx>
        <w:trPr>
          <w:gridAfter w:val="2"/>
          <w:wAfter w:w="1261" w:type="dxa"/>
          <w:trHeight w:val="405" w:hRule="atLeast"/>
          <w:jc w:val="center"/>
        </w:trPr>
        <w:tc>
          <w:tcPr>
            <w:tcW w:w="1220"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附件2</w:t>
            </w:r>
          </w:p>
        </w:tc>
        <w:tc>
          <w:tcPr>
            <w:tcW w:w="1332" w:type="dxa"/>
            <w:gridSpan w:val="2"/>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p>
        </w:tc>
        <w:tc>
          <w:tcPr>
            <w:tcW w:w="1276"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417"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1984" w:type="dxa"/>
            <w:gridSpan w:val="3"/>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3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757"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3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gridAfter w:val="8"/>
          <w:wAfter w:w="3662" w:type="dxa"/>
          <w:trHeight w:val="450" w:hRule="atLeast"/>
          <w:jc w:val="center"/>
        </w:trPr>
        <w:tc>
          <w:tcPr>
            <w:tcW w:w="8609" w:type="dxa"/>
            <w:gridSpan w:val="10"/>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Cs w:val="21"/>
              </w:rPr>
            </w:pPr>
            <w:r>
              <w:rPr>
                <w:rFonts w:hint="eastAsia" w:ascii="仿宋" w:hAnsi="仿宋" w:eastAsia="仿宋" w:cs="宋体"/>
                <w:b/>
                <w:bCs/>
                <w:color w:val="000000"/>
                <w:kern w:val="0"/>
                <w:szCs w:val="21"/>
              </w:rPr>
              <w:t>个人意外伤害保险产品年度经营数据（四类产品）</w:t>
            </w:r>
          </w:p>
        </w:tc>
      </w:tr>
      <w:tr>
        <w:tblPrEx>
          <w:tblCellMar>
            <w:top w:w="0" w:type="dxa"/>
            <w:left w:w="108" w:type="dxa"/>
            <w:bottom w:w="0" w:type="dxa"/>
            <w:right w:w="108" w:type="dxa"/>
          </w:tblCellMar>
        </w:tblPrEx>
        <w:trPr>
          <w:gridAfter w:val="2"/>
          <w:wAfter w:w="1261" w:type="dxa"/>
          <w:trHeight w:val="210" w:hRule="atLeast"/>
          <w:jc w:val="center"/>
        </w:trPr>
        <w:tc>
          <w:tcPr>
            <w:tcW w:w="1220"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36"/>
                <w:szCs w:val="36"/>
              </w:rPr>
            </w:pPr>
          </w:p>
        </w:tc>
        <w:tc>
          <w:tcPr>
            <w:tcW w:w="1332"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417"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984" w:type="dxa"/>
            <w:gridSpan w:val="3"/>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23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757"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23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gridAfter w:val="1"/>
          <w:wAfter w:w="222" w:type="dxa"/>
          <w:trHeight w:val="402" w:hRule="atLeast"/>
          <w:jc w:val="center"/>
        </w:trPr>
        <w:tc>
          <w:tcPr>
            <w:tcW w:w="122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序号</w:t>
            </w:r>
          </w:p>
        </w:tc>
        <w:tc>
          <w:tcPr>
            <w:tcW w:w="765"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产品名称</w:t>
            </w:r>
          </w:p>
        </w:tc>
        <w:tc>
          <w:tcPr>
            <w:tcW w:w="85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销售渠道</w:t>
            </w:r>
          </w:p>
        </w:tc>
        <w:tc>
          <w:tcPr>
            <w:tcW w:w="99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合作机构名称</w:t>
            </w:r>
          </w:p>
        </w:tc>
        <w:tc>
          <w:tcPr>
            <w:tcW w:w="1275"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销售状态</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（在售/停售）</w:t>
            </w:r>
          </w:p>
        </w:tc>
        <w:tc>
          <w:tcPr>
            <w:tcW w:w="1418"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保单件数</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（万件）</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原保险保费收入</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（万元）</w:t>
            </w:r>
          </w:p>
        </w:tc>
        <w:tc>
          <w:tcPr>
            <w:tcW w:w="1275"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期末有效保险金额  （万元）</w:t>
            </w:r>
          </w:p>
        </w:tc>
        <w:tc>
          <w:tcPr>
            <w:tcW w:w="1418" w:type="dxa"/>
            <w:gridSpan w:val="3"/>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赔款支出     （万元）</w:t>
            </w:r>
          </w:p>
        </w:tc>
        <w:tc>
          <w:tcPr>
            <w:tcW w:w="1559" w:type="dxa"/>
            <w:gridSpan w:val="3"/>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综合赔付率</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w:t>
            </w:r>
          </w:p>
        </w:tc>
      </w:tr>
      <w:tr>
        <w:tblPrEx>
          <w:tblCellMar>
            <w:top w:w="0" w:type="dxa"/>
            <w:left w:w="108" w:type="dxa"/>
            <w:bottom w:w="0" w:type="dxa"/>
            <w:right w:w="108" w:type="dxa"/>
          </w:tblCellMar>
        </w:tblPrEx>
        <w:trPr>
          <w:trHeight w:val="402" w:hRule="atLeast"/>
          <w:jc w:val="center"/>
        </w:trPr>
        <w:tc>
          <w:tcPr>
            <w:tcW w:w="122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76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85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418"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5"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418" w:type="dxa"/>
            <w:gridSpan w:val="3"/>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559" w:type="dxa"/>
            <w:gridSpan w:val="3"/>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22"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 w:val="24"/>
                <w:szCs w:val="24"/>
              </w:rPr>
            </w:pPr>
          </w:p>
        </w:tc>
      </w:tr>
      <w:tr>
        <w:tblPrEx>
          <w:tblCellMar>
            <w:top w:w="0" w:type="dxa"/>
            <w:left w:w="108" w:type="dxa"/>
            <w:bottom w:w="0" w:type="dxa"/>
            <w:right w:w="108" w:type="dxa"/>
          </w:tblCellMar>
        </w:tblPrEx>
        <w:trPr>
          <w:trHeight w:val="402" w:hRule="atLeast"/>
          <w:jc w:val="center"/>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gridSpan w:val="2"/>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8"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559"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gridSpan w:val="2"/>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8"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559"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gridSpan w:val="2"/>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8"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559"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8"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559"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2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76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8"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559" w:type="dxa"/>
            <w:gridSpan w:val="3"/>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bl>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300" w:firstLineChars="200"/>
        <w:rPr>
          <w:rFonts w:hint="eastAsia" w:ascii="仿宋" w:hAnsi="仿宋" w:eastAsia="仿宋"/>
          <w:sz w:val="15"/>
          <w:szCs w:val="15"/>
        </w:rPr>
      </w:pPr>
      <w:r>
        <w:rPr>
          <w:rFonts w:hint="eastAsia" w:ascii="仿宋" w:hAnsi="仿宋" w:eastAsia="仿宋"/>
          <w:sz w:val="15"/>
          <w:szCs w:val="15"/>
        </w:rPr>
        <w:t>备注：</w:t>
      </w:r>
      <w:r>
        <w:rPr>
          <w:rFonts w:ascii="仿宋" w:hAnsi="仿宋" w:eastAsia="仿宋"/>
          <w:sz w:val="15"/>
          <w:szCs w:val="15"/>
        </w:rPr>
        <w:t xml:space="preserve"> 1.本表按年度统计，统计个人意外伤害保险产品中航空意外险、借款人意外险、旅行意外险、交通工具意外险等险种每一款产品的经营数据，披露产品范围限于年度原保险保费收入在500万元以上的产品。航空意外险，指单航次航空意外险及以航空意外为主要保险责任的交通工具意外险；借款人意外险，指与商业银行签订《借款合同》的自然人作为被保险人，</w:t>
      </w:r>
      <w:r>
        <w:rPr>
          <w:rFonts w:ascii="Calibri" w:hAnsi="Calibri" w:eastAsia="仿宋" w:cs="Calibri"/>
          <w:sz w:val="15"/>
          <w:szCs w:val="15"/>
        </w:rPr>
        <w:t> </w:t>
      </w:r>
      <w:r>
        <w:rPr>
          <w:rFonts w:ascii="仿宋" w:hAnsi="仿宋" w:eastAsia="仿宋"/>
          <w:sz w:val="15"/>
          <w:szCs w:val="15"/>
        </w:rPr>
        <w:t>在被保险人未还清《借款合同》项下的贷款本息之前，保险金第一受益人为贷款银行的一种特殊意外伤害保险产品；旅行意外险，指被保险人在保险期限内，在出差或旅游的途中因意外事故，导致死亡或伤</w:t>
      </w:r>
      <w:r>
        <w:rPr>
          <w:rFonts w:hint="eastAsia" w:ascii="仿宋" w:hAnsi="仿宋" w:eastAsia="仿宋"/>
          <w:sz w:val="15"/>
          <w:szCs w:val="15"/>
        </w:rPr>
        <w:t>残等为给付保险金条件的意外险产品；交通工具意外险，指被保险人作为乘客在乘坐客运大众交通工具期间因遭受意外伤害事故，导致身故、残疾等为给付保险金条件的保险。</w:t>
      </w:r>
      <w:r>
        <w:rPr>
          <w:rFonts w:ascii="仿宋" w:hAnsi="仿宋" w:eastAsia="仿宋"/>
          <w:sz w:val="15"/>
          <w:szCs w:val="15"/>
        </w:rPr>
        <w:t>2.本表按产品维度（按保险条款逐条统计）填写，每个产品填写一行数据。销售渠道从下拉框中选择，有多个销售渠道的，填写业务规模最大的销售渠道。</w:t>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3.“合作机构名称”仅填写业务规模排名前三的合作机构。</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4.销售状态是指截至信息披露当日，该产品是否仍然在售。</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5.保单件数是指该产品上一年度销售的保单件数。</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6.期末有效保险金额为上一年度末的有效保险金额，保险金额按保单签订的最高给付额统计。</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7.赔款支出为再保后数据，仅保险期限一年及以下的意外险产品填写综合赔付率。综合赔付率为再保后数据，指标计算公式为：（再保后赔款支出+再保后未决赔款准备金提转差）÷（再保后已赚保费）。保险公司披露该指标时应当对计算方法进行说明。</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8.本表自2023年起每年披露，首次披露时间为2023年4月30日前。</w:t>
      </w:r>
      <w:r>
        <w:rPr>
          <w:rFonts w:ascii="仿宋" w:hAnsi="仿宋" w:eastAsia="仿宋"/>
          <w:sz w:val="15"/>
          <w:szCs w:val="15"/>
        </w:rPr>
        <w:tab/>
      </w:r>
    </w:p>
    <w:p>
      <w:pPr>
        <w:widowControl/>
        <w:jc w:val="left"/>
        <w:rPr>
          <w:rFonts w:hint="eastAsia" w:ascii="仿宋" w:hAnsi="仿宋" w:eastAsia="仿宋"/>
          <w:sz w:val="15"/>
          <w:szCs w:val="15"/>
        </w:rPr>
      </w:pPr>
      <w:r>
        <w:rPr>
          <w:rFonts w:ascii="仿宋" w:hAnsi="仿宋" w:eastAsia="仿宋"/>
          <w:sz w:val="15"/>
          <w:szCs w:val="15"/>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3</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个人意外伤害保险产品年度经营数据</w:t>
      </w:r>
    </w:p>
    <w:tbl>
      <w:tblPr>
        <w:tblStyle w:val="42"/>
        <w:tblW w:w="12266" w:type="dxa"/>
        <w:jc w:val="center"/>
        <w:tblLayout w:type="autofit"/>
        <w:tblCellMar>
          <w:top w:w="0" w:type="dxa"/>
          <w:left w:w="108" w:type="dxa"/>
          <w:bottom w:w="0" w:type="dxa"/>
          <w:right w:w="108" w:type="dxa"/>
        </w:tblCellMar>
      </w:tblPr>
      <w:tblGrid>
        <w:gridCol w:w="1189"/>
        <w:gridCol w:w="933"/>
        <w:gridCol w:w="850"/>
        <w:gridCol w:w="1134"/>
        <w:gridCol w:w="1276"/>
        <w:gridCol w:w="1276"/>
        <w:gridCol w:w="1275"/>
        <w:gridCol w:w="1418"/>
        <w:gridCol w:w="1276"/>
        <w:gridCol w:w="1417"/>
        <w:gridCol w:w="222"/>
      </w:tblGrid>
      <w:tr>
        <w:tblPrEx>
          <w:tblCellMar>
            <w:top w:w="0" w:type="dxa"/>
            <w:left w:w="108" w:type="dxa"/>
            <w:bottom w:w="0" w:type="dxa"/>
            <w:right w:w="108" w:type="dxa"/>
          </w:tblCellMar>
        </w:tblPrEx>
        <w:trPr>
          <w:gridAfter w:val="1"/>
          <w:wAfter w:w="222" w:type="dxa"/>
          <w:trHeight w:val="402" w:hRule="atLeast"/>
          <w:jc w:val="center"/>
        </w:trPr>
        <w:tc>
          <w:tcPr>
            <w:tcW w:w="118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序号</w:t>
            </w:r>
          </w:p>
        </w:tc>
        <w:tc>
          <w:tcPr>
            <w:tcW w:w="93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产品名称</w:t>
            </w:r>
          </w:p>
        </w:tc>
        <w:tc>
          <w:tcPr>
            <w:tcW w:w="85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销售渠道</w:t>
            </w:r>
          </w:p>
        </w:tc>
        <w:tc>
          <w:tcPr>
            <w:tcW w:w="11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合作机构名称</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销售状态</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（在售/停售）</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保单件数</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（万件）</w:t>
            </w:r>
          </w:p>
        </w:tc>
        <w:tc>
          <w:tcPr>
            <w:tcW w:w="1275"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原保险保费收入</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（万元）</w:t>
            </w:r>
          </w:p>
        </w:tc>
        <w:tc>
          <w:tcPr>
            <w:tcW w:w="141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期末有效保险金额  （万元）</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赔款支出     （万元）</w:t>
            </w:r>
          </w:p>
        </w:tc>
        <w:tc>
          <w:tcPr>
            <w:tcW w:w="141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综合赔付率</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w:t>
            </w:r>
          </w:p>
        </w:tc>
      </w:tr>
      <w:tr>
        <w:tblPrEx>
          <w:tblCellMar>
            <w:top w:w="0" w:type="dxa"/>
            <w:left w:w="108" w:type="dxa"/>
            <w:bottom w:w="0" w:type="dxa"/>
            <w:right w:w="108" w:type="dxa"/>
          </w:tblCellMar>
        </w:tblPrEx>
        <w:trPr>
          <w:trHeight w:val="402" w:hRule="atLeast"/>
          <w:jc w:val="center"/>
        </w:trPr>
        <w:tc>
          <w:tcPr>
            <w:tcW w:w="118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93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85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41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41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22"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 w:val="24"/>
                <w:szCs w:val="24"/>
              </w:rPr>
            </w:pPr>
          </w:p>
        </w:tc>
      </w:tr>
      <w:tr>
        <w:tblPrEx>
          <w:tblCellMar>
            <w:top w:w="0" w:type="dxa"/>
            <w:left w:w="108" w:type="dxa"/>
            <w:bottom w:w="0" w:type="dxa"/>
            <w:right w:w="108" w:type="dxa"/>
          </w:tblCellMar>
        </w:tblPrEx>
        <w:trPr>
          <w:trHeight w:val="402" w:hRule="atLeast"/>
          <w:jc w:val="center"/>
        </w:trPr>
        <w:tc>
          <w:tcPr>
            <w:tcW w:w="11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3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3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3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3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8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93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bl>
    <w:p>
      <w:pPr>
        <w:adjustRightInd w:val="0"/>
        <w:snapToGrid w:val="0"/>
        <w:spacing w:line="312" w:lineRule="auto"/>
        <w:ind w:firstLine="420" w:firstLineChars="200"/>
        <w:rPr>
          <w:rFonts w:hint="eastAsia" w:ascii="仿宋" w:hAnsi="仿宋" w:eastAsia="仿宋"/>
        </w:rPr>
      </w:pP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备注：</w:t>
      </w:r>
      <w:r>
        <w:rPr>
          <w:rFonts w:ascii="仿宋" w:hAnsi="仿宋" w:eastAsia="仿宋"/>
        </w:rPr>
        <w:t>1.本表按年度统计，统计每一款个人意外伤害保险产品的经营数据，披露产品范围限于年度原保险保费收入在500万元以上的产品。</w:t>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2.本表按产品维度（按保险条款逐条统计）填写，每个产品填写一行数据。销售渠道从下拉框中选择，有多个销售渠道的，填写业务规模最大的销售渠道。</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3.“合作机构名称”仅填写业务规模排名前三的合作机构。</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4.销售状态是指截至信息披露当日，该产品是否仍然在售。</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5.保单件数是指该产品上一年度销售的保单件数。</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6.期末有效保险金额为上一年度末的有效保险金额，保险金额按保单签订的最高给付额统计。</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7.赔款支出为再保后数据，仅保险期限一年及以下意外险产品填写综合赔付率。综合赔付率为再保后数据，指标计算公式为：（再保后赔款支出+再保后未决赔款准备金提转差）÷（再保后已赚保费）。保险公司披露该指标时应当对计算方法进行说明。</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8.本表自2024年起每年披露，首次披露时间为2024年4月30日前。</w:t>
      </w:r>
    </w:p>
    <w:p>
      <w:pPr>
        <w:widowControl/>
        <w:jc w:val="left"/>
        <w:rPr>
          <w:rFonts w:hint="eastAsia" w:ascii="仿宋" w:hAnsi="仿宋" w:eastAsia="仿宋"/>
        </w:rPr>
      </w:pPr>
      <w:r>
        <w:rPr>
          <w:rFonts w:ascii="仿宋" w:hAnsi="仿宋" w:eastAsia="仿宋"/>
        </w:rPr>
        <w:br w:type="page"/>
      </w:r>
    </w:p>
    <w:tbl>
      <w:tblPr>
        <w:tblStyle w:val="42"/>
        <w:tblW w:w="14722" w:type="dxa"/>
        <w:tblInd w:w="0" w:type="dxa"/>
        <w:tblLayout w:type="autofit"/>
        <w:tblCellMar>
          <w:top w:w="0" w:type="dxa"/>
          <w:left w:w="108" w:type="dxa"/>
          <w:bottom w:w="0" w:type="dxa"/>
          <w:right w:w="108" w:type="dxa"/>
        </w:tblCellMar>
      </w:tblPr>
      <w:tblGrid>
        <w:gridCol w:w="1300"/>
        <w:gridCol w:w="3900"/>
        <w:gridCol w:w="1604"/>
        <w:gridCol w:w="2410"/>
        <w:gridCol w:w="2268"/>
        <w:gridCol w:w="2410"/>
        <w:gridCol w:w="830"/>
      </w:tblGrid>
      <w:tr>
        <w:tblPrEx>
          <w:tblCellMar>
            <w:top w:w="0" w:type="dxa"/>
            <w:left w:w="108" w:type="dxa"/>
            <w:bottom w:w="0" w:type="dxa"/>
            <w:right w:w="108" w:type="dxa"/>
          </w:tblCellMar>
        </w:tblPrEx>
        <w:trPr>
          <w:gridAfter w:val="1"/>
          <w:wAfter w:w="830" w:type="dxa"/>
          <w:trHeight w:val="405" w:hRule="atLeast"/>
        </w:trPr>
        <w:tc>
          <w:tcPr>
            <w:tcW w:w="1300"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r>
              <w:rPr>
                <w:rFonts w:hint="eastAsia" w:ascii="仿宋" w:hAnsi="仿宋" w:eastAsia="仿宋" w:cs="宋体"/>
                <w:color w:val="000000"/>
                <w:kern w:val="0"/>
                <w:szCs w:val="21"/>
              </w:rPr>
              <w:t>附件4</w:t>
            </w:r>
          </w:p>
        </w:tc>
        <w:tc>
          <w:tcPr>
            <w:tcW w:w="3900"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Cs w:val="21"/>
              </w:rPr>
            </w:pPr>
          </w:p>
        </w:tc>
        <w:tc>
          <w:tcPr>
            <w:tcW w:w="1604" w:type="dxa"/>
            <w:tcBorders>
              <w:top w:val="nil"/>
              <w:left w:val="nil"/>
              <w:bottom w:val="nil"/>
              <w:right w:val="nil"/>
            </w:tcBorders>
            <w:shd w:val="clear" w:color="auto" w:fill="auto"/>
            <w:noWrap/>
            <w:vAlign w:val="center"/>
          </w:tcPr>
          <w:p>
            <w:pPr>
              <w:widowControl/>
              <w:rPr>
                <w:rFonts w:hint="eastAsia" w:ascii="仿宋" w:hAnsi="仿宋" w:eastAsia="仿宋" w:cs="Times New Roman"/>
                <w:kern w:val="0"/>
                <w:szCs w:val="21"/>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268"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Cs w:val="21"/>
              </w:rPr>
            </w:pPr>
          </w:p>
        </w:tc>
      </w:tr>
      <w:tr>
        <w:tblPrEx>
          <w:tblCellMar>
            <w:top w:w="0" w:type="dxa"/>
            <w:left w:w="108" w:type="dxa"/>
            <w:bottom w:w="0" w:type="dxa"/>
            <w:right w:w="108" w:type="dxa"/>
          </w:tblCellMar>
        </w:tblPrEx>
        <w:trPr>
          <w:gridAfter w:val="1"/>
          <w:wAfter w:w="830" w:type="dxa"/>
          <w:trHeight w:val="450" w:hRule="atLeast"/>
        </w:trPr>
        <w:tc>
          <w:tcPr>
            <w:tcW w:w="13892" w:type="dxa"/>
            <w:gridSpan w:val="6"/>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Cs w:val="21"/>
              </w:rPr>
            </w:pPr>
            <w:r>
              <w:rPr>
                <w:rFonts w:hint="eastAsia" w:ascii="仿宋" w:hAnsi="仿宋" w:eastAsia="仿宋" w:cs="宋体"/>
                <w:b/>
                <w:bCs/>
                <w:color w:val="000000"/>
                <w:kern w:val="0"/>
                <w:szCs w:val="21"/>
              </w:rPr>
              <w:t>团体意外伤害保险业务年度经营数据</w:t>
            </w:r>
          </w:p>
        </w:tc>
      </w:tr>
      <w:tr>
        <w:tblPrEx>
          <w:tblCellMar>
            <w:top w:w="0" w:type="dxa"/>
            <w:left w:w="108" w:type="dxa"/>
            <w:bottom w:w="0" w:type="dxa"/>
            <w:right w:w="108" w:type="dxa"/>
          </w:tblCellMar>
        </w:tblPrEx>
        <w:trPr>
          <w:gridAfter w:val="1"/>
          <w:wAfter w:w="830" w:type="dxa"/>
          <w:trHeight w:val="210" w:hRule="atLeast"/>
        </w:trPr>
        <w:tc>
          <w:tcPr>
            <w:tcW w:w="1300"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36"/>
                <w:szCs w:val="36"/>
              </w:rPr>
            </w:pPr>
          </w:p>
        </w:tc>
        <w:tc>
          <w:tcPr>
            <w:tcW w:w="390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60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2268"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241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gridAfter w:val="1"/>
          <w:wAfter w:w="830" w:type="dxa"/>
          <w:trHeight w:val="402" w:hRule="atLeast"/>
        </w:trPr>
        <w:tc>
          <w:tcPr>
            <w:tcW w:w="5200"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项目</w:t>
            </w:r>
          </w:p>
        </w:tc>
        <w:tc>
          <w:tcPr>
            <w:tcW w:w="160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保单件数</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（万件）</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原保险保费收入</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（万元）</w:t>
            </w:r>
          </w:p>
        </w:tc>
        <w:tc>
          <w:tcPr>
            <w:tcW w:w="226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期末有效保险金额  （万元）</w:t>
            </w:r>
          </w:p>
        </w:tc>
        <w:tc>
          <w:tcPr>
            <w:tcW w:w="241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赔款支出</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（万元）</w:t>
            </w:r>
          </w:p>
        </w:tc>
      </w:tr>
      <w:tr>
        <w:tblPrEx>
          <w:tblCellMar>
            <w:top w:w="0" w:type="dxa"/>
            <w:left w:w="108" w:type="dxa"/>
            <w:bottom w:w="0" w:type="dxa"/>
            <w:right w:w="108" w:type="dxa"/>
          </w:tblCellMar>
        </w:tblPrEx>
        <w:trPr>
          <w:trHeight w:val="402" w:hRule="atLeast"/>
        </w:trPr>
        <w:tc>
          <w:tcPr>
            <w:tcW w:w="5200"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hint="eastAsia" w:ascii="仿宋" w:hAnsi="仿宋" w:eastAsia="仿宋" w:cs="宋体"/>
                <w:color w:val="000000"/>
                <w:kern w:val="0"/>
                <w:sz w:val="24"/>
                <w:szCs w:val="24"/>
              </w:rPr>
            </w:pPr>
          </w:p>
        </w:tc>
        <w:tc>
          <w:tcPr>
            <w:tcW w:w="160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4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26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41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830"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 w:val="24"/>
                <w:szCs w:val="24"/>
              </w:rPr>
            </w:pPr>
          </w:p>
        </w:tc>
      </w:tr>
      <w:tr>
        <w:tblPrEx>
          <w:tblCellMar>
            <w:top w:w="0" w:type="dxa"/>
            <w:left w:w="108" w:type="dxa"/>
            <w:bottom w:w="0" w:type="dxa"/>
            <w:right w:w="108" w:type="dxa"/>
          </w:tblCellMar>
        </w:tblPrEx>
        <w:trPr>
          <w:trHeight w:val="402" w:hRule="atLeast"/>
        </w:trPr>
        <w:tc>
          <w:tcPr>
            <w:tcW w:w="5200"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合计</w:t>
            </w:r>
          </w:p>
        </w:tc>
        <w:tc>
          <w:tcPr>
            <w:tcW w:w="160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销售渠道</w:t>
            </w: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一、公司直销</w:t>
            </w:r>
          </w:p>
        </w:tc>
        <w:tc>
          <w:tcPr>
            <w:tcW w:w="160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二、保险专业代理</w:t>
            </w:r>
          </w:p>
        </w:tc>
        <w:tc>
          <w:tcPr>
            <w:tcW w:w="160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三、保险经纪</w:t>
            </w:r>
          </w:p>
        </w:tc>
        <w:tc>
          <w:tcPr>
            <w:tcW w:w="160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四、银行类保险兼业代理</w:t>
            </w:r>
          </w:p>
        </w:tc>
        <w:tc>
          <w:tcPr>
            <w:tcW w:w="160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五、互联网企业代理渠道</w:t>
            </w:r>
          </w:p>
        </w:tc>
        <w:tc>
          <w:tcPr>
            <w:tcW w:w="160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六、其他兼业代理渠道</w:t>
            </w:r>
          </w:p>
        </w:tc>
        <w:tc>
          <w:tcPr>
            <w:tcW w:w="160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3900"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七、其他渠道</w:t>
            </w:r>
          </w:p>
        </w:tc>
        <w:tc>
          <w:tcPr>
            <w:tcW w:w="160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268"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2410"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600" w:hRule="atLeast"/>
        </w:trPr>
        <w:tc>
          <w:tcPr>
            <w:tcW w:w="1300" w:type="dxa"/>
            <w:tcBorders>
              <w:top w:val="nil"/>
              <w:left w:val="nil"/>
              <w:bottom w:val="nil"/>
              <w:right w:val="nil"/>
            </w:tcBorders>
            <w:shd w:val="clear" w:color="auto" w:fill="auto"/>
          </w:tcPr>
          <w:p>
            <w:pPr>
              <w:widowControl/>
              <w:jc w:val="right"/>
              <w:rPr>
                <w:rFonts w:hint="eastAsia" w:ascii="仿宋" w:hAnsi="仿宋" w:eastAsia="仿宋" w:cs="宋体"/>
                <w:color w:val="000000"/>
                <w:kern w:val="0"/>
                <w:sz w:val="22"/>
              </w:rPr>
            </w:pPr>
            <w:r>
              <w:rPr>
                <w:rFonts w:hint="eastAsia" w:ascii="仿宋" w:hAnsi="仿宋" w:eastAsia="仿宋" w:cs="宋体"/>
                <w:color w:val="000000"/>
                <w:kern w:val="0"/>
                <w:sz w:val="22"/>
              </w:rPr>
              <w:t>备注：</w:t>
            </w:r>
          </w:p>
        </w:tc>
        <w:tc>
          <w:tcPr>
            <w:tcW w:w="12592" w:type="dxa"/>
            <w:gridSpan w:val="5"/>
            <w:tcBorders>
              <w:top w:val="single" w:color="auto" w:sz="4" w:space="0"/>
              <w:left w:val="nil"/>
              <w:bottom w:val="nil"/>
              <w:right w:val="nil"/>
            </w:tcBorders>
            <w:shd w:val="clear" w:color="auto" w:fill="auto"/>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1.本表</w:t>
            </w:r>
            <w:r>
              <w:rPr>
                <w:rFonts w:hint="eastAsia" w:ascii="仿宋" w:hAnsi="仿宋" w:eastAsia="仿宋" w:cs="宋体"/>
                <w:b/>
                <w:bCs/>
                <w:color w:val="000000"/>
                <w:kern w:val="0"/>
                <w:sz w:val="22"/>
              </w:rPr>
              <w:t>按年度统计</w:t>
            </w:r>
            <w:r>
              <w:rPr>
                <w:rFonts w:hint="eastAsia" w:ascii="仿宋" w:hAnsi="仿宋" w:eastAsia="仿宋" w:cs="宋体"/>
                <w:color w:val="000000"/>
                <w:kern w:val="0"/>
                <w:sz w:val="22"/>
              </w:rPr>
              <w:t>，统计范围为上一年度开展的团体意外伤害保险业务。团体意外险是指投保人为特定团体成员投保，由保险公司以一份保险合同提供保险保障的意外险。</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270"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2.保单件数指上一年度销售的保单件数。统计保单件数时，每一件团体保单统计为一件。</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300"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3.期末有效保险金额为上一年度末的有效保险金额，保险金额按保单签订的最高给付额统计。</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285"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4.赔款支出为再保后数据。</w:t>
            </w:r>
          </w:p>
        </w:tc>
        <w:tc>
          <w:tcPr>
            <w:tcW w:w="830"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285" w:hRule="atLeast"/>
        </w:trPr>
        <w:tc>
          <w:tcPr>
            <w:tcW w:w="1300" w:type="dxa"/>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p>
        </w:tc>
        <w:tc>
          <w:tcPr>
            <w:tcW w:w="12592" w:type="dxa"/>
            <w:gridSpan w:val="5"/>
            <w:tcBorders>
              <w:top w:val="nil"/>
              <w:left w:val="nil"/>
              <w:bottom w:val="nil"/>
              <w:right w:val="nil"/>
            </w:tcBorders>
            <w:shd w:val="clear" w:color="auto" w:fill="auto"/>
          </w:tcPr>
          <w:p>
            <w:pPr>
              <w:widowControl/>
              <w:jc w:val="left"/>
              <w:rPr>
                <w:rFonts w:hint="eastAsia" w:ascii="仿宋" w:hAnsi="仿宋" w:eastAsia="仿宋" w:cs="宋体"/>
                <w:color w:val="000000"/>
                <w:kern w:val="0"/>
                <w:sz w:val="22"/>
              </w:rPr>
            </w:pPr>
            <w:r>
              <w:rPr>
                <w:rFonts w:hint="eastAsia" w:ascii="仿宋" w:hAnsi="仿宋" w:eastAsia="仿宋" w:cs="宋体"/>
                <w:color w:val="000000"/>
                <w:kern w:val="0"/>
                <w:sz w:val="22"/>
              </w:rPr>
              <w:t>5.本表自2024年起每年披露，首次披露时间为2024年4月30日前。</w:t>
            </w:r>
          </w:p>
        </w:tc>
        <w:tc>
          <w:tcPr>
            <w:tcW w:w="830" w:type="dxa"/>
            <w:vAlign w:val="center"/>
          </w:tcPr>
          <w:p>
            <w:pPr>
              <w:widowControl/>
              <w:jc w:val="left"/>
              <w:rPr>
                <w:rFonts w:hint="eastAsia" w:ascii="仿宋" w:hAnsi="仿宋" w:eastAsia="仿宋" w:cs="Times New Roman"/>
                <w:kern w:val="0"/>
                <w:sz w:val="20"/>
                <w:szCs w:val="20"/>
              </w:rPr>
            </w:pPr>
          </w:p>
        </w:tc>
      </w:tr>
    </w:tbl>
    <w:p>
      <w:pPr>
        <w:adjustRightInd w:val="0"/>
        <w:snapToGrid w:val="0"/>
        <w:spacing w:line="312" w:lineRule="auto"/>
        <w:ind w:firstLine="420" w:firstLineChars="200"/>
        <w:rPr>
          <w:rFonts w:hint="eastAsia" w:ascii="仿宋" w:hAnsi="仿宋" w:eastAsia="仿宋"/>
        </w:rPr>
      </w:pP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widowControl/>
        <w:jc w:val="left"/>
        <w:rPr>
          <w:rFonts w:hint="eastAsia" w:ascii="仿宋" w:hAnsi="仿宋" w:eastAsia="仿宋"/>
        </w:rPr>
      </w:pPr>
      <w:r>
        <w:rPr>
          <w:rFonts w:ascii="仿宋" w:hAnsi="仿宋" w:eastAsia="仿宋"/>
        </w:rPr>
        <w:br w:type="page"/>
      </w:r>
    </w:p>
    <w:tbl>
      <w:tblPr>
        <w:tblStyle w:val="42"/>
        <w:tblW w:w="12980" w:type="dxa"/>
        <w:jc w:val="center"/>
        <w:tblLayout w:type="autofit"/>
        <w:tblCellMar>
          <w:top w:w="0" w:type="dxa"/>
          <w:left w:w="108" w:type="dxa"/>
          <w:bottom w:w="0" w:type="dxa"/>
          <w:right w:w="108" w:type="dxa"/>
        </w:tblCellMar>
      </w:tblPr>
      <w:tblGrid>
        <w:gridCol w:w="1134"/>
        <w:gridCol w:w="851"/>
        <w:gridCol w:w="1276"/>
        <w:gridCol w:w="1134"/>
        <w:gridCol w:w="1275"/>
        <w:gridCol w:w="1276"/>
        <w:gridCol w:w="1215"/>
        <w:gridCol w:w="1337"/>
        <w:gridCol w:w="1417"/>
        <w:gridCol w:w="668"/>
        <w:gridCol w:w="1175"/>
        <w:gridCol w:w="222"/>
      </w:tblGrid>
      <w:tr>
        <w:tblPrEx>
          <w:tblCellMar>
            <w:top w:w="0" w:type="dxa"/>
            <w:left w:w="108" w:type="dxa"/>
            <w:bottom w:w="0" w:type="dxa"/>
            <w:right w:w="108" w:type="dxa"/>
          </w:tblCellMar>
        </w:tblPrEx>
        <w:trPr>
          <w:gridAfter w:val="1"/>
          <w:wAfter w:w="222" w:type="dxa"/>
          <w:trHeight w:val="405" w:hRule="atLeast"/>
          <w:jc w:val="center"/>
        </w:trPr>
        <w:tc>
          <w:tcPr>
            <w:tcW w:w="1134"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32"/>
                <w:szCs w:val="32"/>
              </w:rPr>
            </w:pPr>
            <w:r>
              <w:rPr>
                <w:rFonts w:hint="eastAsia" w:ascii="仿宋" w:hAnsi="仿宋" w:eastAsia="仿宋" w:cs="宋体"/>
                <w:color w:val="000000"/>
                <w:kern w:val="0"/>
                <w:sz w:val="32"/>
                <w:szCs w:val="32"/>
              </w:rPr>
              <w:t>附件5</w:t>
            </w:r>
          </w:p>
        </w:tc>
        <w:tc>
          <w:tcPr>
            <w:tcW w:w="851"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32"/>
                <w:szCs w:val="32"/>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1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337"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417"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843"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gridAfter w:val="2"/>
          <w:wAfter w:w="1397" w:type="dxa"/>
          <w:trHeight w:val="450" w:hRule="atLeast"/>
          <w:jc w:val="center"/>
        </w:trPr>
        <w:tc>
          <w:tcPr>
            <w:tcW w:w="11583" w:type="dxa"/>
            <w:gridSpan w:val="10"/>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36"/>
                <w:szCs w:val="36"/>
              </w:rPr>
            </w:pPr>
            <w:r>
              <w:rPr>
                <w:rFonts w:hint="eastAsia" w:ascii="仿宋" w:hAnsi="仿宋" w:eastAsia="仿宋" w:cs="宋体"/>
                <w:b/>
                <w:bCs/>
                <w:color w:val="000000"/>
                <w:kern w:val="0"/>
                <w:sz w:val="36"/>
                <w:szCs w:val="36"/>
              </w:rPr>
              <w:t>团体意外伤害保险产品年度经营数据</w:t>
            </w:r>
          </w:p>
        </w:tc>
      </w:tr>
      <w:tr>
        <w:tblPrEx>
          <w:tblCellMar>
            <w:top w:w="0" w:type="dxa"/>
            <w:left w:w="108" w:type="dxa"/>
            <w:bottom w:w="0" w:type="dxa"/>
            <w:right w:w="108" w:type="dxa"/>
          </w:tblCellMar>
        </w:tblPrEx>
        <w:trPr>
          <w:gridAfter w:val="1"/>
          <w:wAfter w:w="222" w:type="dxa"/>
          <w:trHeight w:val="210" w:hRule="atLeast"/>
          <w:jc w:val="center"/>
        </w:trPr>
        <w:tc>
          <w:tcPr>
            <w:tcW w:w="1134"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36"/>
                <w:szCs w:val="36"/>
              </w:rPr>
            </w:pPr>
          </w:p>
        </w:tc>
        <w:tc>
          <w:tcPr>
            <w:tcW w:w="8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21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337"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417"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c>
          <w:tcPr>
            <w:tcW w:w="1843" w:type="dxa"/>
            <w:gridSpan w:val="2"/>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gridAfter w:val="1"/>
          <w:wAfter w:w="222" w:type="dxa"/>
          <w:trHeight w:val="402" w:hRule="atLeast"/>
          <w:jc w:val="center"/>
        </w:trPr>
        <w:tc>
          <w:tcPr>
            <w:tcW w:w="11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序号</w:t>
            </w:r>
          </w:p>
        </w:tc>
        <w:tc>
          <w:tcPr>
            <w:tcW w:w="85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产品名称</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销售渠道</w:t>
            </w:r>
          </w:p>
        </w:tc>
        <w:tc>
          <w:tcPr>
            <w:tcW w:w="11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合作机构名称</w:t>
            </w:r>
          </w:p>
        </w:tc>
        <w:tc>
          <w:tcPr>
            <w:tcW w:w="1275"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销售状态</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（在售/停售）</w:t>
            </w:r>
          </w:p>
        </w:tc>
        <w:tc>
          <w:tcPr>
            <w:tcW w:w="12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保单件数</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（万件）</w:t>
            </w:r>
          </w:p>
        </w:tc>
        <w:tc>
          <w:tcPr>
            <w:tcW w:w="1215"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原保险保费收入</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（万元）</w:t>
            </w:r>
          </w:p>
        </w:tc>
        <w:tc>
          <w:tcPr>
            <w:tcW w:w="133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期末有效保险金额  （万元）</w:t>
            </w:r>
          </w:p>
        </w:tc>
        <w:tc>
          <w:tcPr>
            <w:tcW w:w="141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赔款支出     （万元）</w:t>
            </w:r>
          </w:p>
        </w:tc>
        <w:tc>
          <w:tcPr>
            <w:tcW w:w="184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综合赔付率</w:t>
            </w:r>
            <w:r>
              <w:rPr>
                <w:rFonts w:hint="eastAsia" w:ascii="仿宋" w:hAnsi="仿宋" w:eastAsia="仿宋" w:cs="宋体"/>
                <w:color w:val="000000"/>
                <w:kern w:val="0"/>
                <w:sz w:val="24"/>
                <w:szCs w:val="24"/>
              </w:rPr>
              <w:br w:type="textWrapping"/>
            </w:r>
            <w:r>
              <w:rPr>
                <w:rFonts w:hint="eastAsia" w:ascii="仿宋" w:hAnsi="仿宋" w:eastAsia="仿宋" w:cs="宋体"/>
                <w:color w:val="000000"/>
                <w:kern w:val="0"/>
                <w:sz w:val="24"/>
                <w:szCs w:val="24"/>
              </w:rPr>
              <w:t>（%）</w:t>
            </w:r>
          </w:p>
        </w:tc>
      </w:tr>
      <w:tr>
        <w:tblPrEx>
          <w:tblCellMar>
            <w:top w:w="0" w:type="dxa"/>
            <w:left w:w="108" w:type="dxa"/>
            <w:bottom w:w="0" w:type="dxa"/>
            <w:right w:w="108" w:type="dxa"/>
          </w:tblCellMar>
        </w:tblPrEx>
        <w:trPr>
          <w:trHeight w:val="402" w:hRule="atLeast"/>
          <w:jc w:val="center"/>
        </w:trPr>
        <w:tc>
          <w:tcPr>
            <w:tcW w:w="113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76"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215"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33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417"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1843"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24"/>
                <w:szCs w:val="24"/>
              </w:rPr>
            </w:pPr>
          </w:p>
        </w:tc>
        <w:tc>
          <w:tcPr>
            <w:tcW w:w="222"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 w:val="24"/>
                <w:szCs w:val="24"/>
              </w:rPr>
            </w:pPr>
          </w:p>
        </w:tc>
      </w:tr>
      <w:tr>
        <w:tblPrEx>
          <w:tblCellMar>
            <w:top w:w="0" w:type="dxa"/>
            <w:left w:w="108" w:type="dxa"/>
            <w:bottom w:w="0" w:type="dxa"/>
            <w:right w:w="108" w:type="dxa"/>
          </w:tblCellMar>
        </w:tblPrEx>
        <w:trPr>
          <w:trHeight w:val="402" w:hRule="atLeast"/>
          <w:jc w:val="center"/>
        </w:trPr>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1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337"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843"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1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337"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843"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1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337"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843"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1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337"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843"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r>
        <w:tblPrEx>
          <w:tblCellMar>
            <w:top w:w="0" w:type="dxa"/>
            <w:left w:w="108" w:type="dxa"/>
            <w:bottom w:w="0" w:type="dxa"/>
            <w:right w:w="108" w:type="dxa"/>
          </w:tblCellMar>
        </w:tblPrEx>
        <w:trPr>
          <w:trHeight w:val="402" w:hRule="atLeast"/>
          <w:jc w:val="center"/>
        </w:trPr>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215"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337"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24"/>
                <w:szCs w:val="24"/>
              </w:rPr>
            </w:pPr>
            <w:r>
              <w:rPr>
                <w:rFonts w:hint="eastAsia" w:ascii="仿宋" w:hAnsi="仿宋" w:eastAsia="仿宋" w:cs="宋体"/>
                <w:color w:val="000000"/>
                <w:kern w:val="0"/>
                <w:sz w:val="24"/>
                <w:szCs w:val="24"/>
              </w:rPr>
              <w:t>　</w:t>
            </w:r>
          </w:p>
        </w:tc>
        <w:tc>
          <w:tcPr>
            <w:tcW w:w="1417"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1843" w:type="dxa"/>
            <w:gridSpan w:val="2"/>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Cs w:val="21"/>
              </w:rPr>
            </w:pPr>
            <w:r>
              <w:rPr>
                <w:rFonts w:hint="eastAsia" w:ascii="仿宋" w:hAnsi="仿宋" w:eastAsia="仿宋" w:cs="宋体"/>
                <w:color w:val="000000"/>
                <w:kern w:val="0"/>
                <w:szCs w:val="21"/>
              </w:rPr>
              <w:t>　</w:t>
            </w:r>
          </w:p>
        </w:tc>
        <w:tc>
          <w:tcPr>
            <w:tcW w:w="222" w:type="dxa"/>
            <w:vAlign w:val="center"/>
          </w:tcPr>
          <w:p>
            <w:pPr>
              <w:widowControl/>
              <w:jc w:val="left"/>
              <w:rPr>
                <w:rFonts w:hint="eastAsia" w:ascii="仿宋" w:hAnsi="仿宋" w:eastAsia="仿宋" w:cs="Times New Roman"/>
                <w:kern w:val="0"/>
                <w:sz w:val="20"/>
                <w:szCs w:val="20"/>
              </w:rPr>
            </w:pPr>
          </w:p>
        </w:tc>
      </w:tr>
    </w:tbl>
    <w:p>
      <w:pPr>
        <w:adjustRightInd w:val="0"/>
        <w:snapToGrid w:val="0"/>
        <w:spacing w:line="312" w:lineRule="auto"/>
        <w:ind w:firstLine="420" w:firstLineChars="200"/>
        <w:rPr>
          <w:rFonts w:hint="eastAsia" w:ascii="仿宋" w:hAnsi="仿宋" w:eastAsia="仿宋"/>
        </w:rPr>
      </w:pPr>
      <w:r>
        <w:rPr>
          <w:rFonts w:hint="eastAsia" w:ascii="仿宋" w:hAnsi="仿宋" w:eastAsia="仿宋"/>
        </w:rPr>
        <w:t>备注：</w:t>
      </w:r>
    </w:p>
    <w:p>
      <w:pPr>
        <w:adjustRightInd w:val="0"/>
        <w:snapToGrid w:val="0"/>
        <w:spacing w:line="312" w:lineRule="auto"/>
        <w:ind w:firstLine="420" w:firstLineChars="200"/>
        <w:rPr>
          <w:rFonts w:hint="eastAsia" w:ascii="仿宋" w:hAnsi="仿宋" w:eastAsia="仿宋"/>
        </w:rPr>
      </w:pPr>
      <w:r>
        <w:rPr>
          <w:rFonts w:ascii="仿宋" w:hAnsi="仿宋" w:eastAsia="仿宋"/>
        </w:rPr>
        <w:t>1.本表按年度统计，统计每一款团体意外伤害保险产品的经营数据，披露产品范围限于年度原保险保费收入在500万元以上的产品。</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2.本表按产品维度（按保险条款逐条统计）填写，每个产品填写一行数据。销售渠道从下拉框中选择，有多个销售渠道的，填写业务规模最大的销售渠道。</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3.“合作机构名称”仅填写业务规模排名前三的合作机构。</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4.销售状态是指截至信息披露当日，该产品是否仍然在售。</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5.保单件数是指该产品上一年度销售的保单件数。统计保单件数时，每一件团体保单统计为一件。</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6.期末有效保险金额为上一年度末的有效保险金额，保险金额按保单签订的最高给付额统计。</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7.赔款支出为再保后数据，仅保险期限一年及以下意外险产品填写综合赔付率。综合赔付率为再保后数据，指标计算公式为：（再保后赔款支出+再保后未决赔款准备金提转差）÷（再保后已赚保费）。保险公司披露该指标时应当对计算方法进行说明。</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p>
      <w:pPr>
        <w:adjustRightInd w:val="0"/>
        <w:snapToGrid w:val="0"/>
        <w:spacing w:line="312" w:lineRule="auto"/>
        <w:ind w:firstLine="420" w:firstLineChars="200"/>
        <w:rPr>
          <w:rFonts w:hint="eastAsia" w:ascii="仿宋" w:hAnsi="仿宋" w:eastAsia="仿宋"/>
        </w:rPr>
      </w:pPr>
      <w:r>
        <w:rPr>
          <w:rFonts w:ascii="仿宋" w:hAnsi="仿宋" w:eastAsia="仿宋"/>
        </w:rPr>
        <w:t>8.本表自2024年起每年披露，首次披露时间为2024年4月30日前。</w:t>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tbl>
      <w:tblPr>
        <w:tblStyle w:val="42"/>
        <w:tblW w:w="14114" w:type="dxa"/>
        <w:tblInd w:w="0" w:type="dxa"/>
        <w:tblLayout w:type="autofit"/>
        <w:tblCellMar>
          <w:top w:w="0" w:type="dxa"/>
          <w:left w:w="108" w:type="dxa"/>
          <w:bottom w:w="0" w:type="dxa"/>
          <w:right w:w="108" w:type="dxa"/>
        </w:tblCellMar>
      </w:tblPr>
      <w:tblGrid>
        <w:gridCol w:w="1300"/>
        <w:gridCol w:w="2528"/>
        <w:gridCol w:w="2551"/>
        <w:gridCol w:w="1985"/>
        <w:gridCol w:w="1984"/>
        <w:gridCol w:w="1559"/>
        <w:gridCol w:w="1985"/>
        <w:gridCol w:w="222"/>
      </w:tblGrid>
      <w:tr>
        <w:tblPrEx>
          <w:tblCellMar>
            <w:top w:w="0" w:type="dxa"/>
            <w:left w:w="108" w:type="dxa"/>
            <w:bottom w:w="0" w:type="dxa"/>
            <w:right w:w="108" w:type="dxa"/>
          </w:tblCellMar>
        </w:tblPrEx>
        <w:trPr>
          <w:gridAfter w:val="1"/>
          <w:wAfter w:w="222" w:type="dxa"/>
          <w:trHeight w:val="405" w:hRule="atLeast"/>
        </w:trPr>
        <w:tc>
          <w:tcPr>
            <w:tcW w:w="1300"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附件6</w:t>
            </w:r>
          </w:p>
        </w:tc>
        <w:tc>
          <w:tcPr>
            <w:tcW w:w="2528"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18"/>
                <w:szCs w:val="18"/>
              </w:rPr>
            </w:pPr>
          </w:p>
        </w:tc>
        <w:tc>
          <w:tcPr>
            <w:tcW w:w="2551" w:type="dxa"/>
            <w:tcBorders>
              <w:top w:val="nil"/>
              <w:left w:val="nil"/>
              <w:bottom w:val="nil"/>
              <w:right w:val="nil"/>
            </w:tcBorders>
            <w:shd w:val="clear" w:color="auto" w:fill="auto"/>
            <w:noWrap/>
            <w:vAlign w:val="center"/>
          </w:tcPr>
          <w:p>
            <w:pPr>
              <w:widowControl/>
              <w:rPr>
                <w:rFonts w:hint="eastAsia" w:ascii="仿宋" w:hAnsi="仿宋" w:eastAsia="仿宋" w:cs="Times New Roman"/>
                <w:kern w:val="0"/>
                <w:sz w:val="18"/>
                <w:szCs w:val="18"/>
              </w:rPr>
            </w:pPr>
          </w:p>
        </w:tc>
        <w:tc>
          <w:tcPr>
            <w:tcW w:w="198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98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55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98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gridAfter w:val="1"/>
          <w:wAfter w:w="222" w:type="dxa"/>
          <w:trHeight w:val="450" w:hRule="atLeast"/>
        </w:trPr>
        <w:tc>
          <w:tcPr>
            <w:tcW w:w="13892" w:type="dxa"/>
            <w:gridSpan w:val="7"/>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18"/>
                <w:szCs w:val="18"/>
              </w:rPr>
            </w:pPr>
            <w:r>
              <w:rPr>
                <w:rFonts w:hint="eastAsia" w:ascii="仿宋" w:hAnsi="仿宋" w:eastAsia="仿宋" w:cs="宋体"/>
                <w:b/>
                <w:bCs/>
                <w:color w:val="000000"/>
                <w:kern w:val="0"/>
                <w:sz w:val="18"/>
                <w:szCs w:val="18"/>
              </w:rPr>
              <w:t>意外伤害保险业务年度经营数据</w:t>
            </w:r>
          </w:p>
        </w:tc>
      </w:tr>
      <w:tr>
        <w:tblPrEx>
          <w:tblCellMar>
            <w:top w:w="0" w:type="dxa"/>
            <w:left w:w="108" w:type="dxa"/>
            <w:bottom w:w="0" w:type="dxa"/>
            <w:right w:w="108" w:type="dxa"/>
          </w:tblCellMar>
        </w:tblPrEx>
        <w:trPr>
          <w:gridAfter w:val="1"/>
          <w:wAfter w:w="222" w:type="dxa"/>
          <w:trHeight w:val="210" w:hRule="atLeast"/>
        </w:trPr>
        <w:tc>
          <w:tcPr>
            <w:tcW w:w="1300"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18"/>
                <w:szCs w:val="18"/>
              </w:rPr>
            </w:pPr>
          </w:p>
        </w:tc>
        <w:tc>
          <w:tcPr>
            <w:tcW w:w="2528"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25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98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98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55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985"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gridAfter w:val="1"/>
          <w:wAfter w:w="222" w:type="dxa"/>
          <w:trHeight w:val="402" w:hRule="atLeast"/>
        </w:trPr>
        <w:tc>
          <w:tcPr>
            <w:tcW w:w="3828"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项目</w:t>
            </w:r>
          </w:p>
        </w:tc>
        <w:tc>
          <w:tcPr>
            <w:tcW w:w="2551"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保单件数</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（万件）</w:t>
            </w:r>
          </w:p>
        </w:tc>
        <w:tc>
          <w:tcPr>
            <w:tcW w:w="198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原保险保费收入</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（万元）</w:t>
            </w:r>
          </w:p>
        </w:tc>
        <w:tc>
          <w:tcPr>
            <w:tcW w:w="198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期末有效保险金额（万元）</w:t>
            </w:r>
          </w:p>
        </w:tc>
        <w:tc>
          <w:tcPr>
            <w:tcW w:w="155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佣金费用</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（万元）</w:t>
            </w:r>
          </w:p>
        </w:tc>
        <w:tc>
          <w:tcPr>
            <w:tcW w:w="198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赔款支出</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（万元）</w:t>
            </w:r>
          </w:p>
        </w:tc>
      </w:tr>
      <w:tr>
        <w:tblPrEx>
          <w:tblCellMar>
            <w:top w:w="0" w:type="dxa"/>
            <w:left w:w="108" w:type="dxa"/>
            <w:bottom w:w="0" w:type="dxa"/>
            <w:right w:w="108" w:type="dxa"/>
          </w:tblCellMar>
        </w:tblPrEx>
        <w:trPr>
          <w:trHeight w:val="402" w:hRule="atLeast"/>
        </w:trPr>
        <w:tc>
          <w:tcPr>
            <w:tcW w:w="3828"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hint="eastAsia" w:ascii="仿宋" w:hAnsi="仿宋" w:eastAsia="仿宋" w:cs="宋体"/>
                <w:color w:val="000000"/>
                <w:kern w:val="0"/>
                <w:sz w:val="18"/>
                <w:szCs w:val="18"/>
              </w:rPr>
            </w:pPr>
          </w:p>
        </w:tc>
        <w:tc>
          <w:tcPr>
            <w:tcW w:w="25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1984"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198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22" w:type="dxa"/>
            <w:tcBorders>
              <w:top w:val="nil"/>
              <w:left w:val="nil"/>
              <w:bottom w:val="nil"/>
              <w:right w:val="nil"/>
            </w:tcBorders>
            <w:shd w:val="clear" w:color="auto" w:fill="auto"/>
            <w:noWrap/>
            <w:vAlign w:val="center"/>
          </w:tcPr>
          <w:p>
            <w:pPr>
              <w:widowControl/>
              <w:jc w:val="center"/>
              <w:rPr>
                <w:rFonts w:hint="eastAsia" w:ascii="仿宋" w:hAnsi="仿宋" w:eastAsia="仿宋" w:cs="宋体"/>
                <w:color w:val="000000"/>
                <w:kern w:val="0"/>
                <w:sz w:val="18"/>
                <w:szCs w:val="18"/>
              </w:rPr>
            </w:pPr>
          </w:p>
        </w:tc>
      </w:tr>
      <w:tr>
        <w:tblPrEx>
          <w:tblCellMar>
            <w:top w:w="0" w:type="dxa"/>
            <w:left w:w="108" w:type="dxa"/>
            <w:bottom w:w="0" w:type="dxa"/>
            <w:right w:w="108" w:type="dxa"/>
          </w:tblCellMar>
        </w:tblPrEx>
        <w:trPr>
          <w:trHeight w:val="402" w:hRule="atLeast"/>
        </w:trPr>
        <w:tc>
          <w:tcPr>
            <w:tcW w:w="3828"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合计</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业务类别</w:t>
            </w: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个人意外伤害保险</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团体意外伤害保险</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restart"/>
            <w:tcBorders>
              <w:top w:val="nil"/>
              <w:left w:val="single" w:color="auto" w:sz="4" w:space="0"/>
              <w:bottom w:val="nil"/>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保险期限</w:t>
            </w: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保险期限一年及以下意外险</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nil"/>
              <w:left w:val="single" w:color="auto" w:sz="4" w:space="0"/>
              <w:bottom w:val="nil"/>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保险期限一年以上意外险</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销售渠道</w:t>
            </w: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一、公司直销</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二、保险专业代理</w:t>
            </w:r>
          </w:p>
        </w:tc>
        <w:tc>
          <w:tcPr>
            <w:tcW w:w="25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三、保险经纪</w:t>
            </w:r>
          </w:p>
        </w:tc>
        <w:tc>
          <w:tcPr>
            <w:tcW w:w="25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四、银行类保险兼业代理</w:t>
            </w:r>
          </w:p>
        </w:tc>
        <w:tc>
          <w:tcPr>
            <w:tcW w:w="25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五、互联网企业代理</w:t>
            </w:r>
          </w:p>
        </w:tc>
        <w:tc>
          <w:tcPr>
            <w:tcW w:w="25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六、其他兼业代理</w:t>
            </w:r>
          </w:p>
        </w:tc>
        <w:tc>
          <w:tcPr>
            <w:tcW w:w="25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02" w:hRule="atLeast"/>
        </w:trPr>
        <w:tc>
          <w:tcPr>
            <w:tcW w:w="130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2528" w:type="dxa"/>
            <w:tcBorders>
              <w:top w:val="nil"/>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七、其他渠道</w:t>
            </w:r>
          </w:p>
        </w:tc>
        <w:tc>
          <w:tcPr>
            <w:tcW w:w="25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4" w:type="dxa"/>
            <w:tcBorders>
              <w:top w:val="nil"/>
              <w:left w:val="nil"/>
              <w:bottom w:val="single" w:color="auto" w:sz="4" w:space="0"/>
              <w:right w:val="single" w:color="auto" w:sz="4" w:space="0"/>
            </w:tcBorders>
            <w:shd w:val="clear" w:color="auto" w:fill="auto"/>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559"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985"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222" w:type="dxa"/>
            <w:vAlign w:val="center"/>
          </w:tcPr>
          <w:p>
            <w:pPr>
              <w:widowControl/>
              <w:jc w:val="left"/>
              <w:rPr>
                <w:rFonts w:hint="eastAsia" w:ascii="仿宋" w:hAnsi="仿宋" w:eastAsia="仿宋" w:cs="Times New Roman"/>
                <w:kern w:val="0"/>
                <w:sz w:val="18"/>
                <w:szCs w:val="18"/>
              </w:rPr>
            </w:pPr>
          </w:p>
        </w:tc>
      </w:tr>
    </w:tbl>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1.本表按年度统计，统计范围为上一年度开展的意外伤害保险业务。团体意外险是指投保人为特定团体成员投保，由保险公司以一份保险合同提供保险保障的意外险。</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2.保单件数指上一年度销售的保单件数。统计保单件数时，每一件团体保单统计为一件。</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3.期末有效保险金额为上一年度末的有效保险金额，保险金额按保单签订的最高给付额统计。</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4.佣金费用为上一年度向保险代理人、保险经纪人支付的佣金费用总额。</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sz w:val="15"/>
          <w:szCs w:val="15"/>
        </w:rPr>
      </w:pPr>
      <w:r>
        <w:rPr>
          <w:rFonts w:ascii="仿宋" w:hAnsi="仿宋" w:eastAsia="仿宋"/>
          <w:sz w:val="15"/>
          <w:szCs w:val="15"/>
        </w:rPr>
        <w:t>5.赔款支出为再保后数据。</w:t>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r>
        <w:rPr>
          <w:rFonts w:ascii="仿宋" w:hAnsi="仿宋" w:eastAsia="仿宋"/>
          <w:sz w:val="15"/>
          <w:szCs w:val="15"/>
        </w:rPr>
        <w:tab/>
      </w:r>
    </w:p>
    <w:p>
      <w:pPr>
        <w:adjustRightInd w:val="0"/>
        <w:snapToGrid w:val="0"/>
        <w:spacing w:line="312" w:lineRule="auto"/>
        <w:ind w:firstLine="300" w:firstLineChars="200"/>
        <w:rPr>
          <w:rFonts w:hint="eastAsia" w:ascii="仿宋" w:hAnsi="仿宋" w:eastAsia="仿宋"/>
        </w:rPr>
      </w:pPr>
      <w:r>
        <w:rPr>
          <w:rFonts w:ascii="仿宋" w:hAnsi="仿宋" w:eastAsia="仿宋"/>
          <w:sz w:val="15"/>
          <w:szCs w:val="15"/>
        </w:rPr>
        <w:t>6.本表自2023年起每年报送，首次报送时间为2023年3月31日前。</w:t>
      </w:r>
      <w:r>
        <w:rPr>
          <w:rFonts w:ascii="仿宋" w:hAnsi="仿宋" w:eastAsia="仿宋"/>
          <w:sz w:val="15"/>
          <w:szCs w:val="15"/>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tbl>
      <w:tblPr>
        <w:tblStyle w:val="42"/>
        <w:tblW w:w="13082" w:type="dxa"/>
        <w:jc w:val="center"/>
        <w:tblLayout w:type="autofit"/>
        <w:tblCellMar>
          <w:top w:w="0" w:type="dxa"/>
          <w:left w:w="108" w:type="dxa"/>
          <w:bottom w:w="0" w:type="dxa"/>
          <w:right w:w="108" w:type="dxa"/>
        </w:tblCellMar>
      </w:tblPr>
      <w:tblGrid>
        <w:gridCol w:w="709"/>
        <w:gridCol w:w="992"/>
        <w:gridCol w:w="993"/>
        <w:gridCol w:w="992"/>
        <w:gridCol w:w="709"/>
        <w:gridCol w:w="992"/>
        <w:gridCol w:w="709"/>
        <w:gridCol w:w="850"/>
        <w:gridCol w:w="851"/>
        <w:gridCol w:w="708"/>
        <w:gridCol w:w="851"/>
        <w:gridCol w:w="1134"/>
        <w:gridCol w:w="1134"/>
        <w:gridCol w:w="1276"/>
        <w:gridCol w:w="182"/>
      </w:tblGrid>
      <w:tr>
        <w:tblPrEx>
          <w:tblCellMar>
            <w:top w:w="0" w:type="dxa"/>
            <w:left w:w="108" w:type="dxa"/>
            <w:bottom w:w="0" w:type="dxa"/>
            <w:right w:w="108" w:type="dxa"/>
          </w:tblCellMar>
        </w:tblPrEx>
        <w:trPr>
          <w:gridAfter w:val="1"/>
          <w:wAfter w:w="182" w:type="dxa"/>
          <w:trHeight w:val="540" w:hRule="atLeast"/>
          <w:jc w:val="center"/>
        </w:trPr>
        <w:tc>
          <w:tcPr>
            <w:tcW w:w="709"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附件7</w:t>
            </w:r>
          </w:p>
        </w:tc>
        <w:tc>
          <w:tcPr>
            <w:tcW w:w="992" w:type="dxa"/>
            <w:tcBorders>
              <w:top w:val="nil"/>
              <w:left w:val="nil"/>
              <w:bottom w:val="nil"/>
              <w:right w:val="nil"/>
            </w:tcBorders>
            <w:shd w:val="clear" w:color="auto" w:fill="auto"/>
            <w:noWrap/>
            <w:vAlign w:val="center"/>
          </w:tcPr>
          <w:p>
            <w:pPr>
              <w:widowControl/>
              <w:rPr>
                <w:rFonts w:hint="eastAsia" w:ascii="仿宋" w:hAnsi="仿宋" w:eastAsia="仿宋" w:cs="宋体"/>
                <w:color w:val="000000"/>
                <w:kern w:val="0"/>
                <w:sz w:val="18"/>
                <w:szCs w:val="18"/>
              </w:rPr>
            </w:pPr>
          </w:p>
        </w:tc>
        <w:tc>
          <w:tcPr>
            <w:tcW w:w="993" w:type="dxa"/>
            <w:tcBorders>
              <w:top w:val="nil"/>
              <w:left w:val="nil"/>
              <w:bottom w:val="nil"/>
              <w:right w:val="nil"/>
            </w:tcBorders>
            <w:shd w:val="clear" w:color="auto" w:fill="auto"/>
            <w:noWrap/>
            <w:vAlign w:val="center"/>
          </w:tcPr>
          <w:p>
            <w:pPr>
              <w:widowControl/>
              <w:rPr>
                <w:rFonts w:hint="eastAsia" w:ascii="仿宋" w:hAnsi="仿宋" w:eastAsia="仿宋" w:cs="Times New Roman"/>
                <w:kern w:val="0"/>
                <w:sz w:val="18"/>
                <w:szCs w:val="18"/>
              </w:rPr>
            </w:pPr>
          </w:p>
        </w:tc>
        <w:tc>
          <w:tcPr>
            <w:tcW w:w="992" w:type="dxa"/>
            <w:tcBorders>
              <w:top w:val="nil"/>
              <w:left w:val="nil"/>
              <w:bottom w:val="nil"/>
              <w:right w:val="nil"/>
            </w:tcBorders>
            <w:shd w:val="clear" w:color="auto" w:fill="auto"/>
            <w:noWrap/>
            <w:vAlign w:val="center"/>
          </w:tcPr>
          <w:p>
            <w:pPr>
              <w:widowControl/>
              <w:rPr>
                <w:rFonts w:hint="eastAsia" w:ascii="仿宋" w:hAnsi="仿宋" w:eastAsia="仿宋" w:cs="Times New Roman"/>
                <w:kern w:val="0"/>
                <w:sz w:val="18"/>
                <w:szCs w:val="18"/>
              </w:rPr>
            </w:pPr>
          </w:p>
        </w:tc>
        <w:tc>
          <w:tcPr>
            <w:tcW w:w="70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992"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70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708"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450" w:hRule="atLeast"/>
          <w:jc w:val="center"/>
        </w:trPr>
        <w:tc>
          <w:tcPr>
            <w:tcW w:w="13082" w:type="dxa"/>
            <w:gridSpan w:val="15"/>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18"/>
                <w:szCs w:val="18"/>
              </w:rPr>
            </w:pPr>
            <w:r>
              <w:rPr>
                <w:rFonts w:hint="eastAsia" w:ascii="仿宋" w:hAnsi="仿宋" w:eastAsia="仿宋" w:cs="宋体"/>
                <w:b/>
                <w:bCs/>
                <w:color w:val="000000"/>
                <w:kern w:val="0"/>
                <w:sz w:val="18"/>
                <w:szCs w:val="18"/>
              </w:rPr>
              <w:t>意外伤害保险产品年度经营数据</w:t>
            </w:r>
          </w:p>
        </w:tc>
      </w:tr>
      <w:tr>
        <w:tblPrEx>
          <w:tblCellMar>
            <w:top w:w="0" w:type="dxa"/>
            <w:left w:w="108" w:type="dxa"/>
            <w:bottom w:w="0" w:type="dxa"/>
            <w:right w:w="108" w:type="dxa"/>
          </w:tblCellMar>
        </w:tblPrEx>
        <w:trPr>
          <w:gridAfter w:val="1"/>
          <w:wAfter w:w="182" w:type="dxa"/>
          <w:trHeight w:val="210" w:hRule="atLeast"/>
          <w:jc w:val="center"/>
        </w:trPr>
        <w:tc>
          <w:tcPr>
            <w:tcW w:w="709" w:type="dxa"/>
            <w:tcBorders>
              <w:top w:val="nil"/>
              <w:left w:val="nil"/>
              <w:bottom w:val="nil"/>
              <w:right w:val="nil"/>
            </w:tcBorders>
            <w:shd w:val="clear" w:color="auto" w:fill="auto"/>
            <w:noWrap/>
            <w:vAlign w:val="center"/>
          </w:tcPr>
          <w:p>
            <w:pPr>
              <w:widowControl/>
              <w:jc w:val="center"/>
              <w:rPr>
                <w:rFonts w:hint="eastAsia" w:ascii="仿宋" w:hAnsi="仿宋" w:eastAsia="仿宋" w:cs="宋体"/>
                <w:b/>
                <w:bCs/>
                <w:color w:val="000000"/>
                <w:kern w:val="0"/>
                <w:sz w:val="18"/>
                <w:szCs w:val="18"/>
              </w:rPr>
            </w:pPr>
          </w:p>
        </w:tc>
        <w:tc>
          <w:tcPr>
            <w:tcW w:w="992"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993"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992"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70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992"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709"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0"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708"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851"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134"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c>
          <w:tcPr>
            <w:tcW w:w="1276" w:type="dxa"/>
            <w:tcBorders>
              <w:top w:val="nil"/>
              <w:left w:val="nil"/>
              <w:bottom w:val="nil"/>
              <w:right w:val="nil"/>
            </w:tcBorders>
            <w:shd w:val="clear" w:color="auto" w:fill="auto"/>
            <w:noWrap/>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gridAfter w:val="1"/>
          <w:wAfter w:w="182" w:type="dxa"/>
          <w:trHeight w:val="499" w:hRule="atLeast"/>
          <w:jc w:val="center"/>
        </w:trPr>
        <w:tc>
          <w:tcPr>
            <w:tcW w:w="70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序号</w:t>
            </w:r>
          </w:p>
        </w:tc>
        <w:tc>
          <w:tcPr>
            <w:tcW w:w="99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产品名称</w:t>
            </w:r>
          </w:p>
        </w:tc>
        <w:tc>
          <w:tcPr>
            <w:tcW w:w="99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上市日期</w:t>
            </w:r>
          </w:p>
        </w:tc>
        <w:tc>
          <w:tcPr>
            <w:tcW w:w="99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销售渠道</w:t>
            </w:r>
          </w:p>
        </w:tc>
        <w:tc>
          <w:tcPr>
            <w:tcW w:w="70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合作机构名称</w:t>
            </w:r>
          </w:p>
        </w:tc>
        <w:tc>
          <w:tcPr>
            <w:tcW w:w="99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销售状态</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（在售/停售）</w:t>
            </w:r>
          </w:p>
        </w:tc>
        <w:tc>
          <w:tcPr>
            <w:tcW w:w="70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保单件数</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（万件）</w:t>
            </w:r>
          </w:p>
        </w:tc>
        <w:tc>
          <w:tcPr>
            <w:tcW w:w="85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原保险保费收入</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（万元）</w:t>
            </w:r>
          </w:p>
        </w:tc>
        <w:tc>
          <w:tcPr>
            <w:tcW w:w="85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期末有效保险金额  （万元）</w:t>
            </w:r>
          </w:p>
        </w:tc>
        <w:tc>
          <w:tcPr>
            <w:tcW w:w="70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佣金费用</w:t>
            </w:r>
            <w:r>
              <w:rPr>
                <w:rFonts w:hint="eastAsia" w:ascii="仿宋" w:hAnsi="仿宋" w:eastAsia="仿宋" w:cs="宋体"/>
                <w:color w:val="000000"/>
                <w:kern w:val="0"/>
                <w:sz w:val="18"/>
                <w:szCs w:val="18"/>
              </w:rPr>
              <w:br w:type="textWrapping"/>
            </w:r>
            <w:r>
              <w:rPr>
                <w:rFonts w:hint="eastAsia" w:ascii="仿宋" w:hAnsi="仿宋" w:eastAsia="仿宋" w:cs="宋体"/>
                <w:color w:val="000000"/>
                <w:kern w:val="0"/>
                <w:sz w:val="18"/>
                <w:szCs w:val="18"/>
              </w:rPr>
              <w:t>（万元）</w:t>
            </w:r>
          </w:p>
        </w:tc>
        <w:tc>
          <w:tcPr>
            <w:tcW w:w="85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赔款支出   （万元）</w:t>
            </w:r>
          </w:p>
        </w:tc>
        <w:tc>
          <w:tcPr>
            <w:tcW w:w="3544"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过去三个年度综合赔付率（%）</w:t>
            </w:r>
          </w:p>
        </w:tc>
      </w:tr>
      <w:tr>
        <w:tblPrEx>
          <w:tblCellMar>
            <w:top w:w="0" w:type="dxa"/>
            <w:left w:w="108" w:type="dxa"/>
            <w:bottom w:w="0" w:type="dxa"/>
            <w:right w:w="108" w:type="dxa"/>
          </w:tblCellMar>
        </w:tblPrEx>
        <w:trPr>
          <w:gridAfter w:val="1"/>
          <w:wAfter w:w="182" w:type="dxa"/>
          <w:trHeight w:val="660" w:hRule="atLeast"/>
          <w:jc w:val="center"/>
        </w:trPr>
        <w:tc>
          <w:tcPr>
            <w:tcW w:w="70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992"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992"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70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992"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709"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85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70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851"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hint="eastAsia" w:ascii="仿宋" w:hAnsi="仿宋" w:eastAsia="仿宋" w:cs="宋体"/>
                <w:color w:val="000000"/>
                <w:kern w:val="0"/>
                <w:sz w:val="18"/>
                <w:szCs w:val="18"/>
              </w:rPr>
            </w:pP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第一个年度</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第二个年度</w:t>
            </w:r>
          </w:p>
        </w:tc>
        <w:tc>
          <w:tcPr>
            <w:tcW w:w="1276"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第三个年度</w:t>
            </w:r>
          </w:p>
        </w:tc>
      </w:tr>
      <w:tr>
        <w:tblPrEx>
          <w:tblCellMar>
            <w:top w:w="0" w:type="dxa"/>
            <w:left w:w="108" w:type="dxa"/>
            <w:bottom w:w="0" w:type="dxa"/>
            <w:right w:w="108" w:type="dxa"/>
          </w:tblCellMar>
        </w:tblPrEx>
        <w:trPr>
          <w:gridAfter w:val="1"/>
          <w:wAfter w:w="182" w:type="dxa"/>
          <w:trHeight w:val="402" w:hRule="atLeast"/>
          <w:jc w:val="center"/>
        </w:trPr>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ind w:left="-638" w:leftChars="-304" w:firstLine="639" w:firstLineChars="355"/>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r>
      <w:tr>
        <w:tblPrEx>
          <w:tblCellMar>
            <w:top w:w="0" w:type="dxa"/>
            <w:left w:w="108" w:type="dxa"/>
            <w:bottom w:w="0" w:type="dxa"/>
            <w:right w:w="108" w:type="dxa"/>
          </w:tblCellMar>
        </w:tblPrEx>
        <w:trPr>
          <w:gridAfter w:val="1"/>
          <w:wAfter w:w="182" w:type="dxa"/>
          <w:trHeight w:val="402" w:hRule="atLeast"/>
          <w:jc w:val="center"/>
        </w:trPr>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r>
      <w:tr>
        <w:tblPrEx>
          <w:tblCellMar>
            <w:top w:w="0" w:type="dxa"/>
            <w:left w:w="108" w:type="dxa"/>
            <w:bottom w:w="0" w:type="dxa"/>
            <w:right w:w="108" w:type="dxa"/>
          </w:tblCellMar>
        </w:tblPrEx>
        <w:trPr>
          <w:gridAfter w:val="1"/>
          <w:wAfter w:w="182" w:type="dxa"/>
          <w:trHeight w:val="402" w:hRule="atLeast"/>
          <w:jc w:val="center"/>
        </w:trPr>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r>
      <w:tr>
        <w:tblPrEx>
          <w:tblCellMar>
            <w:top w:w="0" w:type="dxa"/>
            <w:left w:w="108" w:type="dxa"/>
            <w:bottom w:w="0" w:type="dxa"/>
            <w:right w:w="108" w:type="dxa"/>
          </w:tblCellMar>
        </w:tblPrEx>
        <w:trPr>
          <w:gridAfter w:val="1"/>
          <w:wAfter w:w="182" w:type="dxa"/>
          <w:trHeight w:val="402" w:hRule="atLeast"/>
          <w:jc w:val="center"/>
        </w:trPr>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r>
      <w:tr>
        <w:tblPrEx>
          <w:tblCellMar>
            <w:top w:w="0" w:type="dxa"/>
            <w:left w:w="108" w:type="dxa"/>
            <w:bottom w:w="0" w:type="dxa"/>
            <w:right w:w="108" w:type="dxa"/>
          </w:tblCellMar>
        </w:tblPrEx>
        <w:trPr>
          <w:gridAfter w:val="1"/>
          <w:wAfter w:w="182" w:type="dxa"/>
          <w:trHeight w:val="402" w:hRule="atLeast"/>
          <w:jc w:val="center"/>
        </w:trPr>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3"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0"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　</w:t>
            </w:r>
          </w:p>
        </w:tc>
      </w:tr>
    </w:tbl>
    <w:p>
      <w:pPr>
        <w:adjustRightInd w:val="0"/>
        <w:snapToGrid w:val="0"/>
        <w:spacing w:line="312" w:lineRule="auto"/>
        <w:ind w:firstLine="360" w:firstLineChars="200"/>
        <w:rPr>
          <w:rFonts w:hint="eastAsia" w:ascii="仿宋" w:hAnsi="仿宋" w:eastAsia="仿宋"/>
          <w:sz w:val="18"/>
          <w:szCs w:val="18"/>
        </w:rPr>
      </w:pPr>
      <w:r>
        <w:rPr>
          <w:rFonts w:hint="eastAsia" w:ascii="仿宋" w:hAnsi="仿宋" w:eastAsia="仿宋"/>
          <w:sz w:val="18"/>
          <w:szCs w:val="18"/>
        </w:rPr>
        <w:t>备注：</w:t>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1.本表按年度统计，统计每一款意外伤害保险产品的经营数据。</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2.本表按产品维度（按保险条款逐条统计）填写，每个产品填写一行数据。销售渠道从下拉框中选择。</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3.“合作机构名称”仅填写业务规模排名前三的合作机构。</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4.销售状态是指截至表格填报当日，该产品是否仍然在售。</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5.保单件数是指该产品上一年度销售的保单件数。</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6.期末有效保险金额为上一年度末的有效保险金额，保险金额按保单签订的最高给付额统计。</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7.佣金费用为上一年度向保险代理人、保险经纪人支付的佣金费用总额。</w:t>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pPr>
      <w:r>
        <w:rPr>
          <w:rFonts w:ascii="仿宋" w:hAnsi="仿宋" w:eastAsia="仿宋"/>
          <w:sz w:val="18"/>
          <w:szCs w:val="18"/>
        </w:rPr>
        <w:t>8.赔款支出为再保后数据，仅保险期限一年及以下意外险产品填写综合赔付率。综合赔付率为再保后数据，填写过往三个年度的数据，以2023年报送为例，第一个年度、第二个年度、第三个年度分别填写2020年、2021年和2022年的综合赔付率。指标计算公式为：（再保后赔款支出+再保后未决赔款准备金提转差）÷（再保后已赚保费）。</w:t>
      </w:r>
      <w:r>
        <w:rPr>
          <w:rFonts w:ascii="仿宋" w:hAnsi="仿宋" w:eastAsia="仿宋"/>
          <w:sz w:val="18"/>
          <w:szCs w:val="18"/>
        </w:rPr>
        <w:tab/>
      </w:r>
      <w:r>
        <w:rPr>
          <w:rFonts w:ascii="仿宋" w:hAnsi="仿宋" w:eastAsia="仿宋"/>
          <w:sz w:val="18"/>
          <w:szCs w:val="18"/>
        </w:rPr>
        <w:tab/>
      </w:r>
    </w:p>
    <w:p>
      <w:pPr>
        <w:adjustRightInd w:val="0"/>
        <w:snapToGrid w:val="0"/>
        <w:spacing w:line="312" w:lineRule="auto"/>
        <w:ind w:firstLine="360" w:firstLineChars="200"/>
        <w:rPr>
          <w:rFonts w:hint="eastAsia" w:ascii="仿宋" w:hAnsi="仿宋" w:eastAsia="仿宋"/>
          <w:sz w:val="18"/>
          <w:szCs w:val="18"/>
        </w:rPr>
        <w:sectPr>
          <w:pgSz w:w="16838" w:h="11906" w:orient="landscape"/>
          <w:pgMar w:top="1797" w:right="1440" w:bottom="1797" w:left="1440" w:header="851" w:footer="992" w:gutter="0"/>
          <w:cols w:space="425" w:num="1"/>
          <w:docGrid w:type="linesAndChars" w:linePitch="312" w:charSpace="0"/>
        </w:sectPr>
      </w:pPr>
      <w:r>
        <w:rPr>
          <w:rFonts w:ascii="仿宋" w:hAnsi="仿宋" w:eastAsia="仿宋"/>
          <w:sz w:val="18"/>
          <w:szCs w:val="18"/>
        </w:rPr>
        <w:t>9.本表自2023年起每年报送，首次报送时间为2023年3月31日前。</w:t>
      </w:r>
    </w:p>
    <w:p>
      <w:pPr>
        <w:adjustRightInd w:val="0"/>
        <w:snapToGrid w:val="0"/>
        <w:spacing w:line="312" w:lineRule="auto"/>
        <w:ind w:firstLine="420" w:firstLineChars="200"/>
        <w:rPr>
          <w:rFonts w:hint="eastAsia" w:ascii="仿宋" w:hAnsi="仿宋" w:eastAsia="仿宋"/>
        </w:rPr>
      </w:pP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r>
        <w:rPr>
          <w:rFonts w:ascii="仿宋" w:hAnsi="仿宋" w:eastAsia="仿宋"/>
        </w:rPr>
        <w:tab/>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