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491" w:name="_Toc21"/>
      <w:r>
        <w:rPr>
          <w:rFonts w:hint="eastAsia"/>
        </w:rPr>
        <w:t>788--中国银保监会关于修改保险资金运用领域部分规范性文件的通知</w:t>
      </w:r>
      <w:r>
        <w:br w:type="textWrapping"/>
      </w:r>
      <w:r>
        <w:rPr>
          <w:rFonts w:hint="eastAsia"/>
        </w:rPr>
        <w:t>银保监发〔2021〕47号</w:t>
      </w:r>
      <w:bookmarkEnd w:id="2491"/>
    </w:p>
    <w:p>
      <w:pPr>
        <w:pStyle w:val="402"/>
        <w:adjustRightInd w:val="0"/>
        <w:snapToGrid w:val="0"/>
        <w:spacing w:line="312" w:lineRule="auto"/>
        <w:rPr>
          <w:rFonts w:hint="eastAsia" w:ascii="仿宋" w:hAnsi="仿宋" w:eastAsia="仿宋" w:cs="仿宋_GB2312"/>
          <w:szCs w:val="36"/>
        </w:rPr>
      </w:pPr>
      <w:r>
        <w:rPr>
          <w:rFonts w:hint="eastAsia" w:ascii="仿宋" w:hAnsi="仿宋" w:eastAsia="仿宋" w:cs="仿宋_GB2312"/>
          <w:szCs w:val="36"/>
        </w:rPr>
        <w:t>各保险集团（控股）公司、保险公司、保险资产管理公司：</w:t>
      </w:r>
    </w:p>
    <w:p>
      <w:pPr>
        <w:pStyle w:val="402"/>
        <w:adjustRightInd w:val="0"/>
        <w:snapToGrid w:val="0"/>
        <w:spacing w:line="312" w:lineRule="auto"/>
        <w:ind w:firstLine="420" w:firstLineChars="200"/>
        <w:rPr>
          <w:rFonts w:hint="eastAsia" w:ascii="仿宋" w:hAnsi="仿宋" w:eastAsia="仿宋" w:cs="仿宋_GB2312"/>
          <w:szCs w:val="36"/>
        </w:rPr>
      </w:pPr>
      <w:r>
        <w:rPr>
          <w:rFonts w:hint="eastAsia" w:ascii="仿宋" w:hAnsi="仿宋" w:eastAsia="仿宋" w:cs="仿宋_GB2312"/>
          <w:szCs w:val="36"/>
        </w:rPr>
        <w:t>为进一步深化“放管服”改革，增强市场活力，提升保险资金服务实体经济质效，银保监会对现行保险资金运用领域规范性文件进行了清理，决定对14件规范性文件予以修改。</w:t>
      </w:r>
    </w:p>
    <w:p>
      <w:pPr>
        <w:pStyle w:val="402"/>
        <w:numPr>
          <w:ilvl w:val="0"/>
          <w:numId w:val="44"/>
        </w:numPr>
        <w:adjustRightInd w:val="0"/>
        <w:snapToGrid w:val="0"/>
        <w:spacing w:line="312" w:lineRule="auto"/>
        <w:ind w:firstLine="420" w:firstLineChars="200"/>
        <w:rPr>
          <w:rFonts w:hint="eastAsia" w:ascii="仿宋" w:hAnsi="仿宋" w:eastAsia="仿宋" w:cs="仿宋_GB2312"/>
          <w:szCs w:val="36"/>
        </w:rPr>
      </w:pPr>
      <w:r>
        <w:rPr>
          <w:rFonts w:hint="eastAsia" w:ascii="仿宋" w:hAnsi="仿宋" w:eastAsia="仿宋" w:cs="仿宋_GB2312"/>
          <w:szCs w:val="36"/>
        </w:rPr>
        <w:t>删去《保险公司股票资产托管指引（试行）》（保监发〔2005〕16号）第十一条“保险公司应当委托一个托管人托管股票资产。多家保险公司共用一个股票交易席位的，应当选择同一托管人。”</w:t>
      </w:r>
    </w:p>
    <w:p>
      <w:pPr>
        <w:pStyle w:val="402"/>
        <w:numPr>
          <w:ilvl w:val="0"/>
          <w:numId w:val="44"/>
        </w:numPr>
        <w:adjustRightInd w:val="0"/>
        <w:snapToGrid w:val="0"/>
        <w:spacing w:line="312" w:lineRule="auto"/>
        <w:ind w:firstLine="420" w:firstLineChars="200"/>
        <w:rPr>
          <w:rFonts w:hint="eastAsia" w:ascii="仿宋" w:hAnsi="仿宋" w:eastAsia="仿宋" w:cs="仿宋_GB2312"/>
          <w:szCs w:val="36"/>
        </w:rPr>
      </w:pPr>
      <w:r>
        <w:rPr>
          <w:rFonts w:hint="eastAsia" w:ascii="仿宋" w:hAnsi="仿宋" w:eastAsia="仿宋" w:cs="仿宋_GB2312"/>
          <w:szCs w:val="36"/>
        </w:rPr>
        <w:t>删去《中国保险监督管理委员会关于规范保险机构股票投资业务的通知》（保监发〔2009〕45号）中关于“根据市场发展需要，我会决定对保险公司股票投资实行备案制。保险公司应当按照《保险公司股票投资能力标准》和市场化原则，选择股票直接投资或委托投资方式，并向我会备案”的规定及相关附件。</w:t>
      </w:r>
    </w:p>
    <w:p>
      <w:pPr>
        <w:pStyle w:val="402"/>
        <w:numPr>
          <w:ilvl w:val="0"/>
          <w:numId w:val="44"/>
        </w:numPr>
        <w:adjustRightInd w:val="0"/>
        <w:snapToGrid w:val="0"/>
        <w:spacing w:line="312" w:lineRule="auto"/>
        <w:ind w:firstLine="420" w:firstLineChars="200"/>
        <w:rPr>
          <w:rFonts w:hint="eastAsia" w:ascii="仿宋" w:hAnsi="仿宋" w:eastAsia="仿宋" w:cs="仿宋_GB2312"/>
          <w:szCs w:val="36"/>
        </w:rPr>
      </w:pPr>
      <w:r>
        <w:rPr>
          <w:rFonts w:hint="eastAsia" w:ascii="仿宋" w:hAnsi="仿宋" w:eastAsia="仿宋" w:cs="仿宋_GB2312"/>
          <w:szCs w:val="36"/>
        </w:rPr>
        <w:t>删去《中国保险监督管理委员会关于保险机构投资证券交易问题的通知》（保监发〔2011〕77号）第七条第三款关于“保险机构参与特殊机构客户模式试点，应当按照成本收益原则和业务需要，合理确定服务券商数量和证券账户数量，选择的服务券商不超过3家，在每家服务券商开立的证券账户最多不超过3个”的规定。</w:t>
      </w:r>
    </w:p>
    <w:p>
      <w:pPr>
        <w:pStyle w:val="402"/>
        <w:numPr>
          <w:ilvl w:val="0"/>
          <w:numId w:val="44"/>
        </w:numPr>
        <w:adjustRightInd w:val="0"/>
        <w:snapToGrid w:val="0"/>
        <w:spacing w:line="312" w:lineRule="auto"/>
        <w:ind w:firstLine="420" w:firstLineChars="200"/>
        <w:rPr>
          <w:rFonts w:hint="eastAsia" w:ascii="仿宋" w:hAnsi="仿宋" w:eastAsia="仿宋" w:cs="仿宋_GB2312"/>
          <w:szCs w:val="36"/>
        </w:rPr>
      </w:pPr>
      <w:r>
        <w:rPr>
          <w:rFonts w:hint="eastAsia" w:ascii="仿宋" w:hAnsi="仿宋" w:eastAsia="仿宋" w:cs="仿宋_GB2312"/>
          <w:szCs w:val="36"/>
        </w:rPr>
        <w:t>删去《中国保险监督管理委员会关于保险资金投资股权和不动产有关问题的通知》（保监发〔2012〕59号）“调整事项”中的第六条“保险资金投资的股权投资基金，非保险类金融机构及其子公司不得实际控制该基金的管理运营，或者不得持有该基金的普通合伙权益。”</w:t>
      </w:r>
    </w:p>
    <w:p>
      <w:pPr>
        <w:pStyle w:val="402"/>
        <w:numPr>
          <w:ilvl w:val="0"/>
          <w:numId w:val="44"/>
        </w:numPr>
        <w:adjustRightInd w:val="0"/>
        <w:snapToGrid w:val="0"/>
        <w:spacing w:line="312" w:lineRule="auto"/>
        <w:ind w:firstLine="420" w:firstLineChars="200"/>
        <w:rPr>
          <w:rFonts w:hint="eastAsia" w:ascii="仿宋" w:hAnsi="仿宋" w:eastAsia="仿宋" w:cs="仿宋_GB2312"/>
          <w:szCs w:val="36"/>
        </w:rPr>
      </w:pPr>
      <w:r>
        <w:rPr>
          <w:rFonts w:hint="eastAsia" w:ascii="仿宋" w:hAnsi="仿宋" w:eastAsia="仿宋" w:cs="仿宋_GB2312"/>
          <w:szCs w:val="36"/>
        </w:rPr>
        <w:t>删去《保险资金境外投资管理暂行办法实施细则》（保监发〔2012〕93号）第十二条关于“保险资金投资的股权投资基金，金融机构及其子公司不得实际控制该基金的管理运营，不得持有该基金的普通合伙权益”的规定。</w:t>
      </w:r>
    </w:p>
    <w:p>
      <w:pPr>
        <w:pStyle w:val="402"/>
        <w:numPr>
          <w:ilvl w:val="0"/>
          <w:numId w:val="44"/>
        </w:numPr>
        <w:adjustRightInd w:val="0"/>
        <w:snapToGrid w:val="0"/>
        <w:spacing w:line="312" w:lineRule="auto"/>
        <w:ind w:firstLine="420" w:firstLineChars="200"/>
        <w:rPr>
          <w:rFonts w:hint="eastAsia" w:ascii="仿宋" w:hAnsi="仿宋" w:eastAsia="仿宋" w:cs="仿宋_GB2312"/>
          <w:szCs w:val="36"/>
        </w:rPr>
      </w:pPr>
      <w:r>
        <w:rPr>
          <w:rFonts w:hint="eastAsia" w:ascii="仿宋" w:hAnsi="仿宋" w:eastAsia="仿宋" w:cs="仿宋_GB2312"/>
          <w:szCs w:val="36"/>
        </w:rPr>
        <w:t>删去《中国保监会关于规范保险资金银行存款业务的通知》（保监发〔2014〕18号）第五条“保险公司应当按照规定及时报告银行存款业务信息。保险公司以银行存款质押为自身融资的，保险公司和托管机构均应逐笔报告。”</w:t>
      </w:r>
    </w:p>
    <w:p>
      <w:pPr>
        <w:pStyle w:val="402"/>
        <w:adjustRightInd w:val="0"/>
        <w:snapToGrid w:val="0"/>
        <w:spacing w:line="312" w:lineRule="auto"/>
        <w:ind w:firstLine="420" w:firstLineChars="200"/>
        <w:rPr>
          <w:rFonts w:hint="eastAsia" w:ascii="仿宋" w:hAnsi="仿宋" w:eastAsia="仿宋" w:cs="仿宋_GB2312"/>
          <w:szCs w:val="36"/>
        </w:rPr>
      </w:pPr>
      <w:r>
        <w:rPr>
          <w:rFonts w:hint="eastAsia" w:ascii="仿宋" w:hAnsi="仿宋" w:eastAsia="仿宋" w:cs="仿宋_GB2312"/>
          <w:szCs w:val="36"/>
        </w:rPr>
        <w:t>废止原保监会发布的《同业存单质押融资业务报告监管口径》（资金部函〔2017〕190号）。</w:t>
      </w:r>
    </w:p>
    <w:p>
      <w:pPr>
        <w:pStyle w:val="402"/>
        <w:numPr>
          <w:ilvl w:val="0"/>
          <w:numId w:val="44"/>
        </w:numPr>
        <w:adjustRightInd w:val="0"/>
        <w:snapToGrid w:val="0"/>
        <w:spacing w:line="312" w:lineRule="auto"/>
        <w:ind w:firstLine="420" w:firstLineChars="200"/>
        <w:rPr>
          <w:rFonts w:hint="eastAsia" w:ascii="仿宋" w:hAnsi="仿宋" w:eastAsia="仿宋" w:cs="仿宋_GB2312"/>
          <w:szCs w:val="36"/>
        </w:rPr>
      </w:pPr>
      <w:r>
        <w:rPr>
          <w:rFonts w:hint="eastAsia" w:ascii="仿宋" w:hAnsi="仿宋" w:eastAsia="仿宋" w:cs="仿宋_GB2312"/>
          <w:szCs w:val="36"/>
        </w:rPr>
        <w:t>删去《中国保监会关于保险资金投资创业投资基金有关事项的通知》（保监发〔2014〕101号）第三条关于“单只基金募集规模不超过5亿元”的规定。</w:t>
      </w:r>
    </w:p>
    <w:p>
      <w:pPr>
        <w:pStyle w:val="402"/>
        <w:numPr>
          <w:ilvl w:val="0"/>
          <w:numId w:val="44"/>
        </w:numPr>
        <w:adjustRightInd w:val="0"/>
        <w:snapToGrid w:val="0"/>
        <w:spacing w:line="312" w:lineRule="auto"/>
        <w:ind w:firstLine="420" w:firstLineChars="200"/>
        <w:rPr>
          <w:rFonts w:hint="eastAsia" w:ascii="仿宋" w:hAnsi="仿宋" w:eastAsia="仿宋" w:cs="仿宋_GB2312"/>
          <w:szCs w:val="36"/>
        </w:rPr>
      </w:pPr>
      <w:r>
        <w:rPr>
          <w:rFonts w:hint="eastAsia" w:ascii="仿宋" w:hAnsi="仿宋" w:eastAsia="仿宋" w:cs="仿宋_GB2312"/>
          <w:szCs w:val="36"/>
        </w:rPr>
        <w:t>删去《资产支持计划业务管理暂行办法》（保监发〔2015〕85号）第二十条“受托人应当聘请符合监管要求的信用评级机构对受益凭证进行初始评级和跟踪评级。支持计划存续期间，每年跟踪信用评级应当不少于一次。”</w:t>
      </w:r>
    </w:p>
    <w:p>
      <w:pPr>
        <w:pStyle w:val="402"/>
        <w:numPr>
          <w:ilvl w:val="0"/>
          <w:numId w:val="44"/>
        </w:numPr>
        <w:adjustRightInd w:val="0"/>
        <w:snapToGrid w:val="0"/>
        <w:spacing w:line="312" w:lineRule="auto"/>
        <w:ind w:firstLine="420" w:firstLineChars="200"/>
        <w:rPr>
          <w:rFonts w:hint="eastAsia" w:ascii="仿宋" w:hAnsi="仿宋" w:eastAsia="仿宋" w:cs="仿宋_GB2312"/>
          <w:szCs w:val="36"/>
        </w:rPr>
      </w:pPr>
      <w:r>
        <w:rPr>
          <w:rFonts w:hint="eastAsia" w:ascii="仿宋" w:hAnsi="仿宋" w:eastAsia="仿宋" w:cs="仿宋_GB2312"/>
          <w:szCs w:val="36"/>
        </w:rPr>
        <w:t>删去《中国保监会关于设立保险私募基金有关事项的通知》（保监发〔2015〕89号）第九条第二款“发起人及其关联的保险机构出资或认缴金额不低于拟募集规模的30%。”</w:t>
      </w:r>
    </w:p>
    <w:p>
      <w:pPr>
        <w:pStyle w:val="402"/>
        <w:numPr>
          <w:ilvl w:val="0"/>
          <w:numId w:val="44"/>
        </w:numPr>
        <w:adjustRightInd w:val="0"/>
        <w:snapToGrid w:val="0"/>
        <w:spacing w:line="312" w:lineRule="auto"/>
        <w:ind w:firstLine="420" w:firstLineChars="200"/>
        <w:rPr>
          <w:rFonts w:hint="eastAsia" w:ascii="仿宋" w:hAnsi="仿宋" w:eastAsia="仿宋" w:cs="仿宋_GB2312"/>
          <w:szCs w:val="36"/>
        </w:rPr>
      </w:pPr>
      <w:r>
        <w:rPr>
          <w:rFonts w:hint="eastAsia" w:ascii="仿宋" w:hAnsi="仿宋" w:eastAsia="仿宋" w:cs="仿宋_GB2312"/>
          <w:szCs w:val="36"/>
        </w:rPr>
        <w:t>删去原保监会发布的《关于保险资金发起设立私募基金的监管口径》（资金部函〔2017〕180号）第二条关于“并提交股东（大）会或董事会进行决策”的规定。</w:t>
      </w:r>
    </w:p>
    <w:p>
      <w:pPr>
        <w:pStyle w:val="402"/>
        <w:numPr>
          <w:ilvl w:val="0"/>
          <w:numId w:val="44"/>
        </w:numPr>
        <w:adjustRightInd w:val="0"/>
        <w:snapToGrid w:val="0"/>
        <w:spacing w:line="312" w:lineRule="auto"/>
        <w:ind w:firstLine="420" w:firstLineChars="200"/>
        <w:rPr>
          <w:rFonts w:hint="eastAsia" w:ascii="仿宋" w:hAnsi="仿宋" w:eastAsia="仿宋" w:cs="仿宋_GB2312"/>
          <w:szCs w:val="36"/>
        </w:rPr>
      </w:pPr>
      <w:r>
        <w:rPr>
          <w:rFonts w:hint="eastAsia" w:ascii="仿宋" w:hAnsi="仿宋" w:eastAsia="仿宋" w:cs="仿宋_GB2312"/>
          <w:szCs w:val="36"/>
        </w:rPr>
        <w:t>删去《中国保监会国家外汇管理局关于规范保险机构开展内保外贷业务有关事项的通知》（保监发〔2018〕5号）第七条“保险机构开展内保外贷业务，其特殊目的公司单个投资项目取得贷款资金金额在5000万美元（或等值货币）以上的，需要事前向中国保险资产管理业协会报告，由中国保险资产管理业协会组织评估后方可进行。”</w:t>
      </w:r>
    </w:p>
    <w:p>
      <w:pPr>
        <w:pStyle w:val="402"/>
        <w:numPr>
          <w:ilvl w:val="0"/>
          <w:numId w:val="44"/>
        </w:numPr>
        <w:adjustRightInd w:val="0"/>
        <w:snapToGrid w:val="0"/>
        <w:spacing w:line="312" w:lineRule="auto"/>
        <w:ind w:firstLine="420" w:firstLineChars="200"/>
        <w:rPr>
          <w:rFonts w:hint="eastAsia" w:ascii="仿宋" w:hAnsi="仿宋" w:eastAsia="仿宋" w:cs="仿宋_GB2312"/>
          <w:szCs w:val="36"/>
        </w:rPr>
      </w:pPr>
      <w:r>
        <w:rPr>
          <w:rFonts w:hint="eastAsia" w:ascii="仿宋" w:hAnsi="仿宋" w:eastAsia="仿宋" w:cs="仿宋_GB2312"/>
          <w:szCs w:val="36"/>
        </w:rPr>
        <w:t>删去《中国银保监会关于优化保险机构投资管理能力监管有关事项的通知》（银保监发〔2020〕45号）第十条、第十二条关于半年度信息披露相关要求。将第十条修改为“保险机构投资管理能力信息披露包括首次披露、年度披露和重大事项披露。”将第十二条修改为“保险机构应当至少每年度对各项投资管理能力建设合规情况进行自评估，并于每年1月31日前公开披露投资管理能力建设及自评估情况。”</w:t>
      </w:r>
    </w:p>
    <w:p>
      <w:pPr>
        <w:pStyle w:val="402"/>
        <w:numPr>
          <w:ilvl w:val="0"/>
          <w:numId w:val="44"/>
        </w:numPr>
        <w:adjustRightInd w:val="0"/>
        <w:snapToGrid w:val="0"/>
        <w:spacing w:line="312" w:lineRule="auto"/>
        <w:ind w:firstLine="420" w:firstLineChars="200"/>
        <w:rPr>
          <w:rFonts w:hint="eastAsia" w:ascii="仿宋" w:hAnsi="仿宋" w:eastAsia="仿宋" w:cs="仿宋_GB2312"/>
          <w:szCs w:val="36"/>
        </w:rPr>
      </w:pPr>
      <w:r>
        <w:rPr>
          <w:rFonts w:hint="eastAsia" w:ascii="仿宋" w:hAnsi="仿宋" w:eastAsia="仿宋" w:cs="仿宋_GB2312"/>
          <w:szCs w:val="36"/>
        </w:rPr>
        <w:t>删去组合类保险资产管理产品实施细则等三个文件中《债权投资计划实施细则》（银保监办发〔2020〕85号）第八条关于外部信用评级有关要求。将第八条修改为“保险资产管理机构设立债权投资计划，应当开展尽职调查和可行性研究，科学设定交易结构，充分评估相关风险，严格履行各项程序，独立开展评审和决策，并聘请具备相应资质的专业服务机构对设立债权投资计划的合法合规性作出明确判断和结论。”</w:t>
      </w:r>
    </w:p>
    <w:p>
      <w:pPr>
        <w:pStyle w:val="402"/>
        <w:numPr>
          <w:ilvl w:val="0"/>
          <w:numId w:val="44"/>
        </w:numPr>
        <w:adjustRightInd w:val="0"/>
        <w:snapToGrid w:val="0"/>
        <w:spacing w:line="312" w:lineRule="auto"/>
        <w:ind w:firstLine="420" w:firstLineChars="200"/>
        <w:rPr>
          <w:rFonts w:hint="eastAsia" w:ascii="仿宋" w:hAnsi="仿宋" w:eastAsia="仿宋" w:cs="仿宋_GB2312"/>
          <w:szCs w:val="36"/>
        </w:rPr>
      </w:pPr>
      <w:r>
        <w:rPr>
          <w:rFonts w:hint="eastAsia" w:ascii="仿宋" w:hAnsi="仿宋" w:eastAsia="仿宋" w:cs="仿宋_GB2312"/>
          <w:szCs w:val="36"/>
        </w:rPr>
        <w:t>将《中国保监会关于加强和改进保险资金运用比例监管的通知》（保监发〔2014〕13号）第二条“设立大类资产监管比例”中的第（二）项第一款修改为“投资不动产类资产的账面余额，合计不高于本公司上季末总资产的30%。其中，未在银行间市场、证券交易所市场等国务院同意设立的交易市场交易的资产，合计不高于本公司上季末总资产的25%。账面余额不包括保险公司购置的自用性不动产。”</w:t>
      </w:r>
    </w:p>
    <w:p>
      <w:pPr>
        <w:pStyle w:val="402"/>
        <w:adjustRightInd w:val="0"/>
        <w:snapToGrid w:val="0"/>
        <w:spacing w:line="312" w:lineRule="auto"/>
        <w:ind w:firstLine="420" w:firstLineChars="200"/>
        <w:rPr>
          <w:rFonts w:hint="eastAsia" w:ascii="仿宋" w:hAnsi="仿宋" w:eastAsia="仿宋" w:cs="仿宋_GB2312"/>
          <w:szCs w:val="36"/>
        </w:rPr>
      </w:pPr>
      <w:r>
        <w:rPr>
          <w:rFonts w:hint="eastAsia" w:ascii="仿宋" w:hAnsi="仿宋" w:eastAsia="仿宋" w:cs="仿宋_GB2312"/>
          <w:szCs w:val="36"/>
        </w:rPr>
        <w:t>将第二条“设立大类资产监管比例”中的第（三）项修改为“投资其他金融资产的账面余额，合计不高于本公司上季末总资产的25%。其中，未在银行间市场、证券交易所市场等国务院同意设立的交易市场交易的资产，合计不高于本公司上季末总资产的20%。”</w:t>
      </w:r>
    </w:p>
    <w:p>
      <w:pPr>
        <w:pStyle w:val="402"/>
        <w:adjustRightInd w:val="0"/>
        <w:snapToGrid w:val="0"/>
        <w:spacing w:line="312" w:lineRule="auto"/>
        <w:ind w:firstLine="420" w:firstLineChars="200"/>
        <w:rPr>
          <w:rFonts w:hint="eastAsia" w:ascii="仿宋" w:hAnsi="仿宋" w:eastAsia="仿宋" w:cs="仿宋_GB2312"/>
          <w:szCs w:val="36"/>
        </w:rPr>
      </w:pPr>
      <w:r>
        <w:rPr>
          <w:rFonts w:hint="eastAsia" w:ascii="仿宋" w:hAnsi="仿宋" w:eastAsia="仿宋" w:cs="仿宋_GB2312"/>
          <w:szCs w:val="36"/>
        </w:rPr>
        <w:t>此外，对删除条文的，其他条文序号作相应调整。</w:t>
      </w:r>
    </w:p>
    <w:p>
      <w:pPr>
        <w:pStyle w:val="402"/>
        <w:adjustRightInd w:val="0"/>
        <w:snapToGrid w:val="0"/>
        <w:spacing w:line="312" w:lineRule="auto"/>
        <w:ind w:firstLine="420" w:firstLineChars="200"/>
        <w:jc w:val="right"/>
        <w:rPr>
          <w:rFonts w:hint="eastAsia" w:ascii="仿宋" w:hAnsi="仿宋" w:eastAsia="仿宋" w:cs="仿宋_GB2312"/>
          <w:szCs w:val="36"/>
        </w:rPr>
      </w:pPr>
      <w:r>
        <w:rPr>
          <w:rFonts w:hint="eastAsia" w:ascii="仿宋" w:hAnsi="仿宋" w:eastAsia="仿宋" w:cs="仿宋_GB2312"/>
          <w:szCs w:val="36"/>
        </w:rPr>
        <w:t>中国银保监会</w:t>
      </w:r>
    </w:p>
    <w:p>
      <w:pPr>
        <w:pStyle w:val="402"/>
        <w:adjustRightInd w:val="0"/>
        <w:snapToGrid w:val="0"/>
        <w:spacing w:line="312" w:lineRule="auto"/>
        <w:ind w:firstLine="420" w:firstLineChars="200"/>
        <w:jc w:val="right"/>
        <w:rPr>
          <w:rFonts w:hint="eastAsia" w:ascii="仿宋" w:hAnsi="仿宋" w:eastAsia="仿宋" w:cs="仿宋_GB2312"/>
          <w:szCs w:val="36"/>
        </w:rPr>
      </w:pPr>
      <w:r>
        <w:rPr>
          <w:rFonts w:hint="eastAsia" w:ascii="仿宋" w:hAnsi="仿宋" w:eastAsia="仿宋" w:cs="仿宋_GB2312"/>
          <w:szCs w:val="36"/>
        </w:rPr>
        <w:t>2021年12月8日</w:t>
      </w:r>
    </w:p>
    <w:p>
      <w:pPr>
        <w:pStyle w:val="402"/>
        <w:adjustRightInd w:val="0"/>
        <w:snapToGrid w:val="0"/>
        <w:spacing w:line="312" w:lineRule="auto"/>
        <w:ind w:firstLine="420" w:firstLineChars="200"/>
        <w:rPr>
          <w:rFonts w:hint="eastAsia" w:ascii="仿宋" w:hAnsi="仿宋" w:eastAsia="仿宋"/>
        </w:rPr>
      </w:pPr>
    </w:p>
    <w:p>
      <w:pPr>
        <w:pStyle w:val="344"/>
        <w:widowControl w:val="0"/>
        <w:adjustRightInd w:val="0"/>
        <w:snapToGrid w:val="0"/>
        <w:spacing w:before="0" w:beforeAutospacing="0" w:after="0" w:afterAutospacing="0" w:line="312" w:lineRule="auto"/>
        <w:jc w:val="both"/>
        <w:rPr>
          <w:rFonts w:hint="eastAsia" w:ascii="仿宋" w:hAnsi="仿宋" w:eastAsia="仿宋"/>
          <w:sz w:val="21"/>
          <w:szCs w:val="32"/>
        </w:rPr>
      </w:pP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