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509" w:name="_Toc17023"/>
      <w:r>
        <w:rPr>
          <w:rFonts w:hint="eastAsia"/>
        </w:rPr>
        <w:t>8</w:t>
      </w:r>
      <w:r>
        <w:t>02--</w:t>
      </w:r>
      <w:r>
        <w:rPr>
          <w:rFonts w:hint="eastAsia"/>
        </w:rPr>
        <w:t xml:space="preserve">中国银保监会关于精简保险资金运用监管报告事项的通知 </w:t>
      </w:r>
      <w:r>
        <w:br w:type="textWrapping"/>
      </w:r>
      <w:r>
        <w:rPr>
          <w:rFonts w:hint="eastAsia"/>
        </w:rPr>
        <w:t>银保监规〔</w:t>
      </w:r>
      <w:r>
        <w:t>2022〕1号</w:t>
      </w:r>
      <w:bookmarkEnd w:id="2509"/>
    </w:p>
    <w:p>
      <w:pPr>
        <w:adjustRightInd w:val="0"/>
        <w:snapToGrid w:val="0"/>
        <w:spacing w:line="312" w:lineRule="auto"/>
        <w:rPr>
          <w:rFonts w:hint="eastAsia" w:ascii="仿宋" w:hAnsi="仿宋" w:eastAsia="仿宋"/>
        </w:rPr>
      </w:pPr>
      <w:r>
        <w:rPr>
          <w:rFonts w:hint="eastAsia" w:ascii="仿宋" w:hAnsi="仿宋" w:eastAsia="仿宋"/>
        </w:rPr>
        <w:t>各保险集团（控股）公司、保险公司：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为进一步落实国务院“放管服”改革要求，整合监管资源，发挥信息技术优势，聚焦风险监管，提高监管质效，现就精简保险集团（控股）公司、保险公司资金运用监管报告有关事项通知如下：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一、取消《证券交易账户及资金账户开立报告》等</w:t>
      </w:r>
      <w:r>
        <w:rPr>
          <w:rFonts w:ascii="仿宋" w:hAnsi="仿宋" w:eastAsia="仿宋"/>
        </w:rPr>
        <w:t>34项报告事项（详见附件1）。</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二、将《股权投资情况报告》等</w:t>
      </w:r>
      <w:r>
        <w:rPr>
          <w:rFonts w:ascii="仿宋" w:hAnsi="仿宋" w:eastAsia="仿宋"/>
        </w:rPr>
        <w:t>6项报告事项合并为《××公司××年×季度/××年度资金运用情况报告》（详见附件2）。</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各保险集团（控股）公司、保险公司应当增强合规意识，严格按照监管规定报送监管报告，切实提高报送质量。对发生迟报、错报、漏报、瞒报等情形的，银保监会将视情况采取监管谈话、下发风险提示函、下发监管函等监管措施。情节严重的，将依法给予行政处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附件：</w:t>
      </w:r>
    </w:p>
    <w:p>
      <w:pPr>
        <w:adjustRightInd w:val="0"/>
        <w:snapToGrid w:val="0"/>
        <w:spacing w:line="312" w:lineRule="auto"/>
        <w:ind w:firstLine="420" w:firstLineChars="200"/>
        <w:rPr>
          <w:rFonts w:hint="eastAsia" w:ascii="仿宋" w:hAnsi="仿宋" w:eastAsia="仿宋"/>
        </w:rPr>
      </w:pPr>
      <w:r>
        <w:rPr>
          <w:rFonts w:ascii="仿宋" w:hAnsi="仿宋" w:eastAsia="仿宋"/>
        </w:rPr>
        <w:t>1.取消的监管报告事项</w:t>
      </w:r>
    </w:p>
    <w:p>
      <w:pPr>
        <w:adjustRightInd w:val="0"/>
        <w:snapToGrid w:val="0"/>
        <w:spacing w:line="312" w:lineRule="auto"/>
        <w:ind w:firstLine="420" w:firstLineChars="200"/>
        <w:rPr>
          <w:rFonts w:hint="eastAsia" w:ascii="仿宋" w:hAnsi="仿宋" w:eastAsia="仿宋"/>
        </w:rPr>
      </w:pPr>
      <w:r>
        <w:rPr>
          <w:rFonts w:ascii="仿宋" w:hAnsi="仿宋" w:eastAsia="仿宋"/>
        </w:rPr>
        <w:t>2.合并的监管报告事项</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中国银保监会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2022年1月12日</w:t>
      </w:r>
    </w:p>
    <w:p>
      <w:pPr>
        <w:widowControl/>
        <w:jc w:val="left"/>
        <w:rPr>
          <w:rFonts w:hint="eastAsia" w:ascii="仿宋" w:hAnsi="仿宋" w:eastAsia="仿宋"/>
        </w:rPr>
      </w:pPr>
      <w:r>
        <w:rPr>
          <w:rFonts w:ascii="仿宋" w:hAnsi="仿宋" w:eastAsia="仿宋"/>
        </w:rPr>
        <w:br w:type="page"/>
      </w:r>
    </w:p>
    <w:p>
      <w:pPr>
        <w:rPr>
          <w:rFonts w:hint="eastAsia" w:ascii="仿宋" w:hAnsi="仿宋" w:eastAsia="仿宋"/>
          <w:sz w:val="32"/>
          <w:szCs w:val="32"/>
        </w:rPr>
        <w:sectPr>
          <w:pgSz w:w="11906" w:h="16838"/>
          <w:pgMar w:top="1440" w:right="1800" w:bottom="1440" w:left="1800" w:header="851" w:footer="992" w:gutter="0"/>
          <w:cols w:space="425" w:num="1"/>
          <w:docGrid w:type="lines" w:linePitch="312" w:charSpace="0"/>
        </w:sectPr>
      </w:pPr>
    </w:p>
    <w:p>
      <w:pPr>
        <w:rPr>
          <w:rFonts w:hint="eastAsia" w:ascii="仿宋" w:hAnsi="仿宋" w:eastAsia="仿宋"/>
          <w:sz w:val="32"/>
          <w:szCs w:val="32"/>
        </w:rPr>
      </w:pPr>
      <w:r>
        <w:rPr>
          <w:rFonts w:hint="eastAsia" w:ascii="仿宋" w:hAnsi="仿宋" w:eastAsia="仿宋"/>
          <w:sz w:val="32"/>
          <w:szCs w:val="32"/>
        </w:rPr>
        <w:t>附件1</w:t>
      </w:r>
    </w:p>
    <w:p>
      <w:pPr>
        <w:rPr>
          <w:rFonts w:hint="eastAsia" w:ascii="仿宋" w:hAnsi="仿宋" w:eastAsia="仿宋"/>
          <w:sz w:val="32"/>
          <w:szCs w:val="32"/>
        </w:rPr>
      </w:pPr>
    </w:p>
    <w:tbl>
      <w:tblPr>
        <w:tblStyle w:val="42"/>
        <w:tblW w:w="14720" w:type="dxa"/>
        <w:tblInd w:w="93" w:type="dxa"/>
        <w:tblLayout w:type="fixed"/>
        <w:tblCellMar>
          <w:top w:w="0" w:type="dxa"/>
          <w:left w:w="108" w:type="dxa"/>
          <w:bottom w:w="0" w:type="dxa"/>
          <w:right w:w="108" w:type="dxa"/>
        </w:tblCellMar>
      </w:tblPr>
      <w:tblGrid>
        <w:gridCol w:w="724"/>
        <w:gridCol w:w="1276"/>
        <w:gridCol w:w="2977"/>
        <w:gridCol w:w="7966"/>
        <w:gridCol w:w="1777"/>
      </w:tblGrid>
      <w:tr>
        <w:tblPrEx>
          <w:tblCellMar>
            <w:top w:w="0" w:type="dxa"/>
            <w:left w:w="108" w:type="dxa"/>
            <w:bottom w:w="0" w:type="dxa"/>
            <w:right w:w="108" w:type="dxa"/>
          </w:tblCellMar>
        </w:tblPrEx>
        <w:trPr>
          <w:trHeight w:val="735" w:hRule="atLeast"/>
        </w:trPr>
        <w:tc>
          <w:tcPr>
            <w:tcW w:w="14720" w:type="dxa"/>
            <w:gridSpan w:val="5"/>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仿宋" w:hAnsi="仿宋" w:eastAsia="仿宋" w:cs="宋体"/>
                <w:b/>
                <w:bCs/>
                <w:color w:val="000000"/>
                <w:kern w:val="0"/>
                <w:sz w:val="32"/>
                <w:szCs w:val="32"/>
              </w:rPr>
            </w:pPr>
            <w:r>
              <w:rPr>
                <w:rFonts w:hint="eastAsia" w:ascii="仿宋" w:hAnsi="仿宋" w:eastAsia="仿宋" w:cs="方正小标宋简体"/>
                <w:color w:val="000000"/>
                <w:kern w:val="0"/>
                <w:sz w:val="32"/>
                <w:szCs w:val="32"/>
              </w:rPr>
              <w:t>取消的监管报告事项</w:t>
            </w:r>
          </w:p>
        </w:tc>
      </w:tr>
      <w:tr>
        <w:tblPrEx>
          <w:tblCellMar>
            <w:top w:w="0" w:type="dxa"/>
            <w:left w:w="108" w:type="dxa"/>
            <w:bottom w:w="0" w:type="dxa"/>
            <w:right w:w="108" w:type="dxa"/>
          </w:tblCellMar>
        </w:tblPrEx>
        <w:trPr>
          <w:trHeight w:val="540" w:hRule="atLeast"/>
        </w:trPr>
        <w:tc>
          <w:tcPr>
            <w:tcW w:w="724" w:type="dxa"/>
            <w:tcBorders>
              <w:top w:val="nil"/>
              <w:left w:val="single" w:color="auto" w:sz="4" w:space="0"/>
              <w:bottom w:val="single" w:color="auto" w:sz="4" w:space="0"/>
              <w:right w:val="single" w:color="auto" w:sz="4" w:space="0"/>
            </w:tcBorders>
            <w:vAlign w:val="center"/>
          </w:tcPr>
          <w:p>
            <w:pPr>
              <w:widowControl/>
              <w:jc w:val="center"/>
              <w:rPr>
                <w:rFonts w:hint="eastAsia" w:ascii="仿宋" w:hAnsi="仿宋" w:eastAsia="仿宋" w:cs="黑体"/>
                <w:bCs/>
                <w:color w:val="000000"/>
                <w:kern w:val="0"/>
                <w:szCs w:val="21"/>
              </w:rPr>
            </w:pPr>
            <w:r>
              <w:rPr>
                <w:rFonts w:hint="eastAsia" w:ascii="仿宋" w:hAnsi="仿宋" w:eastAsia="仿宋" w:cs="黑体"/>
                <w:bCs/>
                <w:color w:val="000000"/>
                <w:kern w:val="0"/>
                <w:szCs w:val="21"/>
              </w:rPr>
              <w:t>序号</w:t>
            </w:r>
          </w:p>
        </w:tc>
        <w:tc>
          <w:tcPr>
            <w:tcW w:w="1276" w:type="dxa"/>
            <w:tcBorders>
              <w:top w:val="nil"/>
              <w:left w:val="nil"/>
              <w:bottom w:val="single" w:color="auto" w:sz="4" w:space="0"/>
              <w:right w:val="single" w:color="auto" w:sz="4" w:space="0"/>
            </w:tcBorders>
            <w:vAlign w:val="center"/>
          </w:tcPr>
          <w:p>
            <w:pPr>
              <w:widowControl/>
              <w:jc w:val="center"/>
              <w:rPr>
                <w:rFonts w:hint="eastAsia" w:ascii="仿宋" w:hAnsi="仿宋" w:eastAsia="仿宋" w:cs="黑体"/>
                <w:bCs/>
                <w:color w:val="000000"/>
                <w:kern w:val="0"/>
                <w:szCs w:val="21"/>
              </w:rPr>
            </w:pPr>
            <w:r>
              <w:rPr>
                <w:rFonts w:hint="eastAsia" w:ascii="仿宋" w:hAnsi="仿宋" w:eastAsia="仿宋" w:cs="黑体"/>
                <w:bCs/>
                <w:color w:val="000000"/>
                <w:kern w:val="0"/>
                <w:szCs w:val="21"/>
              </w:rPr>
              <w:t>报告事项</w:t>
            </w:r>
          </w:p>
          <w:p>
            <w:pPr>
              <w:widowControl/>
              <w:jc w:val="center"/>
              <w:rPr>
                <w:rFonts w:hint="eastAsia" w:ascii="仿宋" w:hAnsi="仿宋" w:eastAsia="仿宋" w:cs="黑体"/>
                <w:bCs/>
                <w:color w:val="000000"/>
                <w:kern w:val="0"/>
                <w:szCs w:val="21"/>
              </w:rPr>
            </w:pPr>
            <w:r>
              <w:rPr>
                <w:rFonts w:hint="eastAsia" w:ascii="仿宋" w:hAnsi="仿宋" w:eastAsia="仿宋" w:cs="黑体"/>
                <w:bCs/>
                <w:color w:val="000000"/>
                <w:kern w:val="0"/>
                <w:szCs w:val="21"/>
              </w:rPr>
              <w:t>名称</w:t>
            </w:r>
          </w:p>
        </w:tc>
        <w:tc>
          <w:tcPr>
            <w:tcW w:w="2977" w:type="dxa"/>
            <w:tcBorders>
              <w:top w:val="nil"/>
              <w:left w:val="nil"/>
              <w:bottom w:val="single" w:color="auto" w:sz="4" w:space="0"/>
              <w:right w:val="single" w:color="auto" w:sz="4" w:space="0"/>
            </w:tcBorders>
            <w:vAlign w:val="center"/>
          </w:tcPr>
          <w:p>
            <w:pPr>
              <w:widowControl/>
              <w:jc w:val="center"/>
              <w:rPr>
                <w:rFonts w:hint="eastAsia" w:ascii="仿宋" w:hAnsi="仿宋" w:eastAsia="仿宋" w:cs="黑体"/>
                <w:bCs/>
                <w:color w:val="000000"/>
                <w:kern w:val="0"/>
                <w:szCs w:val="21"/>
              </w:rPr>
            </w:pPr>
            <w:r>
              <w:rPr>
                <w:rFonts w:hint="eastAsia" w:ascii="仿宋" w:hAnsi="仿宋" w:eastAsia="仿宋" w:cs="黑体"/>
                <w:bCs/>
                <w:color w:val="000000"/>
                <w:kern w:val="0"/>
                <w:szCs w:val="21"/>
              </w:rPr>
              <w:t>制度依据</w:t>
            </w:r>
          </w:p>
        </w:tc>
        <w:tc>
          <w:tcPr>
            <w:tcW w:w="7966" w:type="dxa"/>
            <w:tcBorders>
              <w:top w:val="nil"/>
              <w:left w:val="nil"/>
              <w:bottom w:val="single" w:color="auto" w:sz="4" w:space="0"/>
              <w:right w:val="single" w:color="auto" w:sz="4" w:space="0"/>
            </w:tcBorders>
            <w:vAlign w:val="center"/>
          </w:tcPr>
          <w:p>
            <w:pPr>
              <w:widowControl/>
              <w:jc w:val="center"/>
              <w:rPr>
                <w:rFonts w:hint="eastAsia" w:ascii="仿宋" w:hAnsi="仿宋" w:eastAsia="仿宋" w:cs="黑体"/>
                <w:bCs/>
                <w:color w:val="000000"/>
                <w:kern w:val="0"/>
                <w:szCs w:val="21"/>
              </w:rPr>
            </w:pPr>
            <w:r>
              <w:rPr>
                <w:rFonts w:hint="eastAsia" w:ascii="仿宋" w:hAnsi="仿宋" w:eastAsia="仿宋" w:cs="黑体"/>
                <w:bCs/>
                <w:color w:val="000000"/>
                <w:kern w:val="0"/>
                <w:szCs w:val="21"/>
              </w:rPr>
              <w:t>相关条款</w:t>
            </w:r>
          </w:p>
        </w:tc>
        <w:tc>
          <w:tcPr>
            <w:tcW w:w="1777" w:type="dxa"/>
            <w:tcBorders>
              <w:top w:val="nil"/>
              <w:left w:val="nil"/>
              <w:bottom w:val="single" w:color="auto" w:sz="4" w:space="0"/>
              <w:right w:val="single" w:color="auto" w:sz="4" w:space="0"/>
            </w:tcBorders>
            <w:vAlign w:val="center"/>
          </w:tcPr>
          <w:p>
            <w:pPr>
              <w:widowControl/>
              <w:jc w:val="center"/>
              <w:rPr>
                <w:rFonts w:hint="eastAsia" w:ascii="仿宋" w:hAnsi="仿宋" w:eastAsia="仿宋" w:cs="黑体"/>
                <w:bCs/>
                <w:color w:val="000000"/>
                <w:kern w:val="0"/>
                <w:szCs w:val="21"/>
              </w:rPr>
            </w:pPr>
            <w:r>
              <w:rPr>
                <w:rFonts w:hint="eastAsia" w:ascii="仿宋" w:hAnsi="仿宋" w:eastAsia="仿宋" w:cs="黑体"/>
                <w:bCs/>
                <w:color w:val="000000"/>
                <w:kern w:val="0"/>
                <w:szCs w:val="21"/>
              </w:rPr>
              <w:t>备注</w:t>
            </w:r>
          </w:p>
        </w:tc>
      </w:tr>
      <w:tr>
        <w:tblPrEx>
          <w:tblCellMar>
            <w:top w:w="0" w:type="dxa"/>
            <w:left w:w="108" w:type="dxa"/>
            <w:bottom w:w="0" w:type="dxa"/>
            <w:right w:w="108" w:type="dxa"/>
          </w:tblCellMar>
        </w:tblPrEx>
        <w:trPr>
          <w:trHeight w:val="1029" w:hRule="atLeast"/>
        </w:trPr>
        <w:tc>
          <w:tcPr>
            <w:tcW w:w="724" w:type="dxa"/>
            <w:tcBorders>
              <w:top w:val="nil"/>
              <w:left w:val="single" w:color="auto" w:sz="4" w:space="0"/>
              <w:bottom w:val="single" w:color="auto" w:sz="4" w:space="0"/>
              <w:right w:val="single" w:color="auto" w:sz="4" w:space="0"/>
            </w:tcBorders>
            <w:vAlign w:val="center"/>
          </w:tcPr>
          <w:p>
            <w:pPr>
              <w:widowControl/>
              <w:jc w:val="center"/>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1</w:t>
            </w:r>
          </w:p>
        </w:tc>
        <w:tc>
          <w:tcPr>
            <w:tcW w:w="1276" w:type="dxa"/>
            <w:tcBorders>
              <w:top w:val="nil"/>
              <w:left w:val="nil"/>
              <w:bottom w:val="single" w:color="auto" w:sz="4" w:space="0"/>
              <w:right w:val="single" w:color="auto" w:sz="4" w:space="0"/>
            </w:tcBorders>
            <w:vAlign w:val="center"/>
          </w:tcPr>
          <w:p>
            <w:pPr>
              <w:widowControl/>
              <w:jc w:val="center"/>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证券交易账户及资金账户开立报告</w:t>
            </w:r>
          </w:p>
        </w:tc>
        <w:tc>
          <w:tcPr>
            <w:tcW w:w="2977" w:type="dxa"/>
            <w:tcBorders>
              <w:top w:val="nil"/>
              <w:left w:val="nil"/>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《关于重新修订&lt;保险公司投资证券投资基金管理暂行办法&gt;的通知》（保监发〔2003〕6号）</w:t>
            </w:r>
          </w:p>
        </w:tc>
        <w:tc>
          <w:tcPr>
            <w:tcW w:w="7966" w:type="dxa"/>
            <w:tcBorders>
              <w:top w:val="nil"/>
              <w:left w:val="nil"/>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第十三条 保险公司……开设的所有证券交易账户及资金账户须在事后15个工作日内报告我会。</w:t>
            </w:r>
          </w:p>
        </w:tc>
        <w:tc>
          <w:tcPr>
            <w:tcW w:w="1777" w:type="dxa"/>
            <w:tcBorders>
              <w:top w:val="nil"/>
              <w:left w:val="nil"/>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　</w:t>
            </w:r>
          </w:p>
        </w:tc>
      </w:tr>
      <w:tr>
        <w:tblPrEx>
          <w:tblCellMar>
            <w:top w:w="0" w:type="dxa"/>
            <w:left w:w="108" w:type="dxa"/>
            <w:bottom w:w="0" w:type="dxa"/>
            <w:right w:w="108" w:type="dxa"/>
          </w:tblCellMar>
        </w:tblPrEx>
        <w:trPr>
          <w:trHeight w:val="1040" w:hRule="atLeast"/>
        </w:trPr>
        <w:tc>
          <w:tcPr>
            <w:tcW w:w="724" w:type="dxa"/>
            <w:tcBorders>
              <w:top w:val="nil"/>
              <w:left w:val="single" w:color="auto" w:sz="4" w:space="0"/>
              <w:bottom w:val="single" w:color="auto" w:sz="4" w:space="0"/>
              <w:right w:val="single" w:color="auto" w:sz="4" w:space="0"/>
            </w:tcBorders>
            <w:vAlign w:val="center"/>
          </w:tcPr>
          <w:p>
            <w:pPr>
              <w:widowControl/>
              <w:jc w:val="center"/>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2</w:t>
            </w:r>
          </w:p>
        </w:tc>
        <w:tc>
          <w:tcPr>
            <w:tcW w:w="1276" w:type="dxa"/>
            <w:tcBorders>
              <w:top w:val="nil"/>
              <w:left w:val="nil"/>
              <w:bottom w:val="single" w:color="auto" w:sz="4" w:space="0"/>
              <w:right w:val="single" w:color="auto" w:sz="4" w:space="0"/>
            </w:tcBorders>
            <w:vAlign w:val="center"/>
          </w:tcPr>
          <w:p>
            <w:pPr>
              <w:widowControl/>
              <w:jc w:val="center"/>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证券投资基金月报表及年报表</w:t>
            </w:r>
          </w:p>
        </w:tc>
        <w:tc>
          <w:tcPr>
            <w:tcW w:w="2977" w:type="dxa"/>
            <w:tcBorders>
              <w:top w:val="nil"/>
              <w:left w:val="nil"/>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《关于重新修订&lt;保险公司投资证券投资基金管理暂行办法&gt;的通知》（保监发〔2003〕6号）</w:t>
            </w:r>
          </w:p>
        </w:tc>
        <w:tc>
          <w:tcPr>
            <w:tcW w:w="7966" w:type="dxa"/>
            <w:tcBorders>
              <w:top w:val="nil"/>
              <w:left w:val="nil"/>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第十七条 保险公司应当按月向中国保监会上报投资基金的明细表。月报表须于次月前3个工作日内上报，年报表须于次年一月底之前上报。</w:t>
            </w:r>
          </w:p>
        </w:tc>
        <w:tc>
          <w:tcPr>
            <w:tcW w:w="1777" w:type="dxa"/>
            <w:tcBorders>
              <w:top w:val="nil"/>
              <w:left w:val="nil"/>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p>
        </w:tc>
      </w:tr>
      <w:tr>
        <w:tblPrEx>
          <w:tblCellMar>
            <w:top w:w="0" w:type="dxa"/>
            <w:left w:w="108" w:type="dxa"/>
            <w:bottom w:w="0" w:type="dxa"/>
            <w:right w:w="108" w:type="dxa"/>
          </w:tblCellMar>
        </w:tblPrEx>
        <w:trPr>
          <w:trHeight w:val="90" w:hRule="atLeast"/>
        </w:trPr>
        <w:tc>
          <w:tcPr>
            <w:tcW w:w="724" w:type="dxa"/>
            <w:vMerge w:val="restart"/>
            <w:tcBorders>
              <w:top w:val="nil"/>
              <w:left w:val="single" w:color="auto" w:sz="4" w:space="0"/>
              <w:right w:val="single" w:color="auto" w:sz="4" w:space="0"/>
            </w:tcBorders>
            <w:vAlign w:val="center"/>
          </w:tcPr>
          <w:p>
            <w:pPr>
              <w:widowControl/>
              <w:jc w:val="center"/>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3</w:t>
            </w:r>
          </w:p>
        </w:tc>
        <w:tc>
          <w:tcPr>
            <w:tcW w:w="1276" w:type="dxa"/>
            <w:vMerge w:val="restart"/>
            <w:tcBorders>
              <w:top w:val="nil"/>
              <w:left w:val="nil"/>
              <w:right w:val="single" w:color="auto" w:sz="4" w:space="0"/>
            </w:tcBorders>
            <w:vAlign w:val="center"/>
          </w:tcPr>
          <w:p>
            <w:pPr>
              <w:widowControl/>
              <w:jc w:val="center"/>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股票投资风险控制报告</w:t>
            </w:r>
          </w:p>
        </w:tc>
        <w:tc>
          <w:tcPr>
            <w:tcW w:w="2977" w:type="dxa"/>
            <w:tcBorders>
              <w:top w:val="nil"/>
              <w:left w:val="nil"/>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《关于保险机构投资者股票投资有关问题的通知》(保监发〔2005〕14号)</w:t>
            </w:r>
          </w:p>
        </w:tc>
        <w:tc>
          <w:tcPr>
            <w:tcW w:w="7966" w:type="dxa"/>
            <w:tcBorders>
              <w:top w:val="nil"/>
              <w:left w:val="nil"/>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四、保险机构投资者股票资产市场价值发生大幅波动，亏损超过本公司股票投资成本10％的，或者盈利超过本公司股票投资成本20％的，应当于3日内向中国保监会报送《股票投资风险控制报告》。《报告》至少应当包括以下内容：</w:t>
            </w:r>
            <w:r>
              <w:rPr>
                <w:rFonts w:hint="eastAsia" w:ascii="仿宋" w:hAnsi="仿宋" w:eastAsia="仿宋" w:cs="宋体"/>
                <w:color w:val="000000"/>
                <w:kern w:val="0"/>
                <w:sz w:val="20"/>
                <w:szCs w:val="20"/>
              </w:rPr>
              <w:br w:type="textWrapping"/>
            </w:r>
            <w:r>
              <w:rPr>
                <w:rFonts w:hint="eastAsia" w:ascii="仿宋" w:hAnsi="仿宋" w:eastAsia="仿宋" w:cs="宋体"/>
                <w:color w:val="000000"/>
                <w:kern w:val="0"/>
                <w:sz w:val="20"/>
                <w:szCs w:val="20"/>
              </w:rPr>
              <w:t>（一）报告期股票资产市场价值及变动的情况；</w:t>
            </w:r>
            <w:r>
              <w:rPr>
                <w:rFonts w:hint="eastAsia" w:ascii="仿宋" w:hAnsi="仿宋" w:eastAsia="仿宋" w:cs="宋体"/>
                <w:color w:val="000000"/>
                <w:kern w:val="0"/>
                <w:sz w:val="20"/>
                <w:szCs w:val="20"/>
              </w:rPr>
              <w:br w:type="textWrapping"/>
            </w:r>
            <w:r>
              <w:rPr>
                <w:rFonts w:hint="eastAsia" w:ascii="仿宋" w:hAnsi="仿宋" w:eastAsia="仿宋" w:cs="宋体"/>
                <w:color w:val="000000"/>
                <w:kern w:val="0"/>
                <w:sz w:val="20"/>
                <w:szCs w:val="20"/>
              </w:rPr>
              <w:t>（二）股票投资风险容忍度指标、目前风险容忍度状况以及执行控制风险的情况；</w:t>
            </w:r>
            <w:r>
              <w:rPr>
                <w:rFonts w:hint="eastAsia" w:ascii="仿宋" w:hAnsi="仿宋" w:eastAsia="仿宋" w:cs="宋体"/>
                <w:color w:val="000000"/>
                <w:kern w:val="0"/>
                <w:sz w:val="20"/>
                <w:szCs w:val="20"/>
              </w:rPr>
              <w:br w:type="textWrapping"/>
            </w:r>
            <w:r>
              <w:rPr>
                <w:rFonts w:hint="eastAsia" w:ascii="仿宋" w:hAnsi="仿宋" w:eastAsia="仿宋" w:cs="宋体"/>
                <w:color w:val="000000"/>
                <w:kern w:val="0"/>
                <w:sz w:val="20"/>
                <w:szCs w:val="20"/>
              </w:rPr>
              <w:t>（三）股票资产的风险评估；</w:t>
            </w:r>
            <w:r>
              <w:rPr>
                <w:rFonts w:hint="eastAsia" w:ascii="仿宋" w:hAnsi="仿宋" w:eastAsia="仿宋" w:cs="宋体"/>
                <w:color w:val="000000"/>
                <w:kern w:val="0"/>
                <w:sz w:val="20"/>
                <w:szCs w:val="20"/>
              </w:rPr>
              <w:br w:type="textWrapping"/>
            </w:r>
            <w:r>
              <w:rPr>
                <w:rFonts w:hint="eastAsia" w:ascii="仿宋" w:hAnsi="仿宋" w:eastAsia="仿宋" w:cs="宋体"/>
                <w:color w:val="000000"/>
                <w:kern w:val="0"/>
                <w:sz w:val="20"/>
                <w:szCs w:val="20"/>
              </w:rPr>
              <w:t>（四）股票资产的风险控制措施；</w:t>
            </w:r>
            <w:r>
              <w:rPr>
                <w:rFonts w:hint="eastAsia" w:ascii="仿宋" w:hAnsi="仿宋" w:eastAsia="仿宋" w:cs="宋体"/>
                <w:color w:val="000000"/>
                <w:kern w:val="0"/>
                <w:sz w:val="20"/>
                <w:szCs w:val="20"/>
              </w:rPr>
              <w:br w:type="textWrapping"/>
            </w:r>
            <w:r>
              <w:rPr>
                <w:rFonts w:hint="eastAsia" w:ascii="仿宋" w:hAnsi="仿宋" w:eastAsia="仿宋" w:cs="宋体"/>
                <w:color w:val="000000"/>
                <w:kern w:val="0"/>
                <w:sz w:val="20"/>
                <w:szCs w:val="20"/>
              </w:rPr>
              <w:t>（五）其他认为需要报告的事项。</w:t>
            </w:r>
          </w:p>
        </w:tc>
        <w:tc>
          <w:tcPr>
            <w:tcW w:w="1777" w:type="dxa"/>
            <w:tcBorders>
              <w:top w:val="nil"/>
              <w:left w:val="nil"/>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　</w:t>
            </w:r>
          </w:p>
        </w:tc>
      </w:tr>
      <w:tr>
        <w:tblPrEx>
          <w:tblCellMar>
            <w:top w:w="0" w:type="dxa"/>
            <w:left w:w="108" w:type="dxa"/>
            <w:bottom w:w="0" w:type="dxa"/>
            <w:right w:w="108" w:type="dxa"/>
          </w:tblCellMar>
        </w:tblPrEx>
        <w:trPr>
          <w:trHeight w:val="506" w:hRule="atLeast"/>
        </w:trPr>
        <w:tc>
          <w:tcPr>
            <w:tcW w:w="724" w:type="dxa"/>
            <w:vMerge w:val="continue"/>
            <w:tcBorders>
              <w:left w:val="single" w:color="auto" w:sz="4" w:space="0"/>
              <w:bottom w:val="single" w:color="auto" w:sz="4" w:space="0"/>
              <w:right w:val="single" w:color="auto" w:sz="4" w:space="0"/>
            </w:tcBorders>
            <w:vAlign w:val="center"/>
          </w:tcPr>
          <w:p>
            <w:pPr>
              <w:widowControl/>
              <w:jc w:val="center"/>
              <w:rPr>
                <w:rFonts w:hint="eastAsia" w:ascii="仿宋" w:hAnsi="仿宋" w:eastAsia="仿宋" w:cs="宋体"/>
                <w:color w:val="000000"/>
                <w:kern w:val="0"/>
                <w:sz w:val="20"/>
                <w:szCs w:val="20"/>
              </w:rPr>
            </w:pPr>
          </w:p>
        </w:tc>
        <w:tc>
          <w:tcPr>
            <w:tcW w:w="1276" w:type="dxa"/>
            <w:vMerge w:val="continue"/>
            <w:tcBorders>
              <w:left w:val="nil"/>
              <w:bottom w:val="single" w:color="auto" w:sz="4" w:space="0"/>
              <w:right w:val="single" w:color="auto" w:sz="4" w:space="0"/>
            </w:tcBorders>
            <w:vAlign w:val="center"/>
          </w:tcPr>
          <w:p>
            <w:pPr>
              <w:widowControl/>
              <w:jc w:val="center"/>
              <w:rPr>
                <w:rFonts w:hint="eastAsia" w:ascii="仿宋" w:hAnsi="仿宋" w:eastAsia="仿宋" w:cs="宋体"/>
                <w:color w:val="000000"/>
                <w:kern w:val="0"/>
                <w:sz w:val="20"/>
                <w:szCs w:val="20"/>
              </w:rPr>
            </w:pPr>
          </w:p>
        </w:tc>
        <w:tc>
          <w:tcPr>
            <w:tcW w:w="2977" w:type="dxa"/>
            <w:tcBorders>
              <w:top w:val="nil"/>
              <w:left w:val="nil"/>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《关于规范保险机构股票投资业务的通知》(保监发〔2009〕45号)</w:t>
            </w:r>
          </w:p>
        </w:tc>
        <w:tc>
          <w:tcPr>
            <w:tcW w:w="7966" w:type="dxa"/>
            <w:tcBorders>
              <w:top w:val="nil"/>
              <w:left w:val="nil"/>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五、加强市场动态监测。保险公司……向监管机构提交《股票投资风险控制报告》。</w:t>
            </w:r>
          </w:p>
        </w:tc>
        <w:tc>
          <w:tcPr>
            <w:tcW w:w="1777" w:type="dxa"/>
            <w:tcBorders>
              <w:top w:val="nil"/>
              <w:left w:val="nil"/>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　</w:t>
            </w:r>
          </w:p>
        </w:tc>
      </w:tr>
      <w:tr>
        <w:tblPrEx>
          <w:tblCellMar>
            <w:top w:w="0" w:type="dxa"/>
            <w:left w:w="108" w:type="dxa"/>
            <w:bottom w:w="0" w:type="dxa"/>
            <w:right w:w="108" w:type="dxa"/>
          </w:tblCellMar>
        </w:tblPrEx>
        <w:trPr>
          <w:trHeight w:val="1005" w:hRule="atLeast"/>
        </w:trPr>
        <w:tc>
          <w:tcPr>
            <w:tcW w:w="724"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4</w:t>
            </w:r>
          </w:p>
        </w:tc>
        <w:tc>
          <w:tcPr>
            <w:tcW w:w="127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股票资产托管协议</w:t>
            </w:r>
          </w:p>
        </w:tc>
        <w:tc>
          <w:tcPr>
            <w:tcW w:w="2977" w:type="dxa"/>
            <w:tcBorders>
              <w:top w:val="single" w:color="auto" w:sz="4" w:space="0"/>
              <w:left w:val="single" w:color="auto" w:sz="4" w:space="0"/>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《关于印发&lt;保险公司股票资产托管指引（试行）&gt;的通知》（保监发〔2005〕16号）</w:t>
            </w:r>
          </w:p>
        </w:tc>
        <w:tc>
          <w:tcPr>
            <w:tcW w:w="7966" w:type="dxa"/>
            <w:tcBorders>
              <w:top w:val="single" w:color="auto" w:sz="4" w:space="0"/>
              <w:left w:val="single" w:color="auto" w:sz="4" w:space="0"/>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第二十四条 保险公司与托管人签订托管协议、变更或者终止资产托管协议，应当自托管协议签订、变更或终止生效之日起5日内向中国保监会报告。</w:t>
            </w:r>
          </w:p>
        </w:tc>
        <w:tc>
          <w:tcPr>
            <w:tcW w:w="1777" w:type="dxa"/>
            <w:tcBorders>
              <w:top w:val="single" w:color="auto" w:sz="4" w:space="0"/>
              <w:left w:val="single" w:color="auto" w:sz="4" w:space="0"/>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　</w:t>
            </w:r>
          </w:p>
        </w:tc>
      </w:tr>
      <w:tr>
        <w:tblPrEx>
          <w:tblCellMar>
            <w:top w:w="0" w:type="dxa"/>
            <w:left w:w="108" w:type="dxa"/>
            <w:bottom w:w="0" w:type="dxa"/>
            <w:right w:w="108" w:type="dxa"/>
          </w:tblCellMar>
        </w:tblPrEx>
        <w:trPr>
          <w:trHeight w:val="785" w:hRule="atLeast"/>
        </w:trPr>
        <w:tc>
          <w:tcPr>
            <w:tcW w:w="724" w:type="dxa"/>
            <w:tcBorders>
              <w:top w:val="nil"/>
              <w:left w:val="single" w:color="auto" w:sz="4" w:space="0"/>
              <w:bottom w:val="single" w:color="auto" w:sz="4" w:space="0"/>
              <w:right w:val="single" w:color="auto" w:sz="4" w:space="0"/>
            </w:tcBorders>
            <w:vAlign w:val="center"/>
          </w:tcPr>
          <w:p>
            <w:pPr>
              <w:widowControl/>
              <w:jc w:val="center"/>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5</w:t>
            </w:r>
          </w:p>
        </w:tc>
        <w:tc>
          <w:tcPr>
            <w:tcW w:w="1276" w:type="dxa"/>
            <w:tcBorders>
              <w:top w:val="nil"/>
              <w:left w:val="nil"/>
              <w:bottom w:val="single" w:color="auto" w:sz="4" w:space="0"/>
              <w:right w:val="single" w:color="auto" w:sz="4" w:space="0"/>
            </w:tcBorders>
            <w:vAlign w:val="center"/>
          </w:tcPr>
          <w:p>
            <w:pPr>
              <w:widowControl/>
              <w:jc w:val="center"/>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股票投资异常情况报告</w:t>
            </w:r>
          </w:p>
        </w:tc>
        <w:tc>
          <w:tcPr>
            <w:tcW w:w="2977" w:type="dxa"/>
            <w:tcBorders>
              <w:top w:val="nil"/>
              <w:left w:val="nil"/>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《关于股票投资有关问题的通知》（保监发〔2007〕44号）</w:t>
            </w:r>
          </w:p>
        </w:tc>
        <w:tc>
          <w:tcPr>
            <w:tcW w:w="7966" w:type="dxa"/>
            <w:tcBorders>
              <w:top w:val="nil"/>
              <w:left w:val="nil"/>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四、保险机构投资者……发现投资同一上市公司股票比例较高、交易价格异常、反向交易频繁或交易数量较大等问题的……并向……监管机构报告。</w:t>
            </w:r>
          </w:p>
        </w:tc>
        <w:tc>
          <w:tcPr>
            <w:tcW w:w="1777" w:type="dxa"/>
            <w:tcBorders>
              <w:top w:val="nil"/>
              <w:left w:val="nil"/>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　</w:t>
            </w:r>
          </w:p>
        </w:tc>
      </w:tr>
      <w:tr>
        <w:tblPrEx>
          <w:tblCellMar>
            <w:top w:w="0" w:type="dxa"/>
            <w:left w:w="108" w:type="dxa"/>
            <w:bottom w:w="0" w:type="dxa"/>
            <w:right w:w="108" w:type="dxa"/>
          </w:tblCellMar>
        </w:tblPrEx>
        <w:trPr>
          <w:trHeight w:val="855" w:hRule="atLeast"/>
        </w:trPr>
        <w:tc>
          <w:tcPr>
            <w:tcW w:w="724" w:type="dxa"/>
            <w:tcBorders>
              <w:top w:val="nil"/>
              <w:left w:val="single" w:color="auto" w:sz="4" w:space="0"/>
              <w:bottom w:val="single" w:color="auto" w:sz="4" w:space="0"/>
              <w:right w:val="single" w:color="auto" w:sz="4" w:space="0"/>
            </w:tcBorders>
            <w:vAlign w:val="center"/>
          </w:tcPr>
          <w:p>
            <w:pPr>
              <w:widowControl/>
              <w:jc w:val="center"/>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6</w:t>
            </w:r>
          </w:p>
        </w:tc>
        <w:tc>
          <w:tcPr>
            <w:tcW w:w="1276" w:type="dxa"/>
            <w:tcBorders>
              <w:top w:val="nil"/>
              <w:left w:val="nil"/>
              <w:bottom w:val="single" w:color="auto" w:sz="4" w:space="0"/>
              <w:right w:val="single" w:color="auto" w:sz="4" w:space="0"/>
            </w:tcBorders>
            <w:vAlign w:val="center"/>
          </w:tcPr>
          <w:p>
            <w:pPr>
              <w:widowControl/>
              <w:jc w:val="center"/>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资产配置情况报告</w:t>
            </w:r>
          </w:p>
        </w:tc>
        <w:tc>
          <w:tcPr>
            <w:tcW w:w="2977" w:type="dxa"/>
            <w:tcBorders>
              <w:top w:val="nil"/>
              <w:left w:val="nil"/>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《关于加强保险资产配置风险管理的通知》（保监发〔2009〕17号）</w:t>
            </w:r>
          </w:p>
        </w:tc>
        <w:tc>
          <w:tcPr>
            <w:tcW w:w="7966" w:type="dxa"/>
            <w:tcBorders>
              <w:top w:val="nil"/>
              <w:left w:val="nil"/>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四、……资产管理部门要及时向监管机构报告保险产品负债水平、资产规模、资产配置和投资收益情况……</w:t>
            </w:r>
          </w:p>
        </w:tc>
        <w:tc>
          <w:tcPr>
            <w:tcW w:w="1777" w:type="dxa"/>
            <w:tcBorders>
              <w:top w:val="nil"/>
              <w:left w:val="nil"/>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按照《中国保监会关于印发&lt;保险资产负债管理监管规则（1—5）号&gt;及开展试运行有关事项的通知》（保监发〔2018〕27号）要求通过信息系统报送。</w:t>
            </w:r>
          </w:p>
        </w:tc>
      </w:tr>
      <w:tr>
        <w:tblPrEx>
          <w:tblCellMar>
            <w:top w:w="0" w:type="dxa"/>
            <w:left w:w="108" w:type="dxa"/>
            <w:bottom w:w="0" w:type="dxa"/>
            <w:right w:w="108" w:type="dxa"/>
          </w:tblCellMar>
        </w:tblPrEx>
        <w:trPr>
          <w:trHeight w:val="930" w:hRule="atLeast"/>
        </w:trPr>
        <w:tc>
          <w:tcPr>
            <w:tcW w:w="724" w:type="dxa"/>
            <w:tcBorders>
              <w:top w:val="nil"/>
              <w:left w:val="single" w:color="auto" w:sz="4" w:space="0"/>
              <w:bottom w:val="single" w:color="auto" w:sz="4" w:space="0"/>
              <w:right w:val="single" w:color="auto" w:sz="4" w:space="0"/>
            </w:tcBorders>
            <w:vAlign w:val="center"/>
          </w:tcPr>
          <w:p>
            <w:pPr>
              <w:widowControl/>
              <w:jc w:val="center"/>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7</w:t>
            </w:r>
          </w:p>
        </w:tc>
        <w:tc>
          <w:tcPr>
            <w:tcW w:w="1276" w:type="dxa"/>
            <w:tcBorders>
              <w:top w:val="nil"/>
              <w:left w:val="nil"/>
              <w:bottom w:val="single" w:color="auto" w:sz="4" w:space="0"/>
              <w:right w:val="single" w:color="auto" w:sz="4" w:space="0"/>
            </w:tcBorders>
            <w:vAlign w:val="center"/>
          </w:tcPr>
          <w:p>
            <w:pPr>
              <w:widowControl/>
              <w:jc w:val="center"/>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债券回购账户开立报告</w:t>
            </w:r>
          </w:p>
        </w:tc>
        <w:tc>
          <w:tcPr>
            <w:tcW w:w="2977" w:type="dxa"/>
            <w:tcBorders>
              <w:top w:val="nil"/>
              <w:left w:val="nil"/>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《关于加强保险机构债券回购业务管理的通知》(保监发〔2009〕106号)</w:t>
            </w:r>
          </w:p>
        </w:tc>
        <w:tc>
          <w:tcPr>
            <w:tcW w:w="7966" w:type="dxa"/>
            <w:tcBorders>
              <w:top w:val="nil"/>
              <w:left w:val="nil"/>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四、……保险机构应当按照下列要求报告有关事项：（一）在托管银行指定或开立债券回购资金账户10日内，向中国保监会报送账户名称、类型、用途及托管行开户证明等资料。</w:t>
            </w:r>
          </w:p>
        </w:tc>
        <w:tc>
          <w:tcPr>
            <w:tcW w:w="1777" w:type="dxa"/>
            <w:tcBorders>
              <w:top w:val="nil"/>
              <w:left w:val="nil"/>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p>
        </w:tc>
      </w:tr>
      <w:tr>
        <w:tblPrEx>
          <w:tblCellMar>
            <w:top w:w="0" w:type="dxa"/>
            <w:left w:w="108" w:type="dxa"/>
            <w:bottom w:w="0" w:type="dxa"/>
            <w:right w:w="108" w:type="dxa"/>
          </w:tblCellMar>
        </w:tblPrEx>
        <w:trPr>
          <w:trHeight w:val="979" w:hRule="atLeast"/>
        </w:trPr>
        <w:tc>
          <w:tcPr>
            <w:tcW w:w="724"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8</w:t>
            </w:r>
          </w:p>
        </w:tc>
        <w:tc>
          <w:tcPr>
            <w:tcW w:w="1276" w:type="dxa"/>
            <w:tcBorders>
              <w:top w:val="single" w:color="auto" w:sz="4" w:space="0"/>
              <w:left w:val="nil"/>
              <w:bottom w:val="single" w:color="auto" w:sz="4" w:space="0"/>
              <w:right w:val="single" w:color="auto" w:sz="4" w:space="0"/>
            </w:tcBorders>
            <w:vAlign w:val="center"/>
          </w:tcPr>
          <w:p>
            <w:pPr>
              <w:widowControl/>
              <w:jc w:val="center"/>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债券回购业务季度报告</w:t>
            </w:r>
          </w:p>
        </w:tc>
        <w:tc>
          <w:tcPr>
            <w:tcW w:w="2977" w:type="dxa"/>
            <w:tcBorders>
              <w:top w:val="single" w:color="auto" w:sz="4" w:space="0"/>
              <w:left w:val="nil"/>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《关于加强保险机构债券回购业务管理的通知》(保监发〔2009〕106号)</w:t>
            </w:r>
          </w:p>
        </w:tc>
        <w:tc>
          <w:tcPr>
            <w:tcW w:w="7966" w:type="dxa"/>
            <w:tcBorders>
              <w:top w:val="single" w:color="auto" w:sz="4" w:space="0"/>
              <w:left w:val="nil"/>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四、……保险机构应当按照下列要求报告有关事项：（二）每季末15日内，向中国保监会报送债券回购利率水平、债券回购利率与市场利率的偏离分析、交易量、交易对手、资金用途及风险状况等情况。</w:t>
            </w:r>
          </w:p>
        </w:tc>
        <w:tc>
          <w:tcPr>
            <w:tcW w:w="1777" w:type="dxa"/>
            <w:tcBorders>
              <w:top w:val="single" w:color="auto" w:sz="4" w:space="0"/>
              <w:left w:val="nil"/>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p>
        </w:tc>
      </w:tr>
      <w:tr>
        <w:tblPrEx>
          <w:tblCellMar>
            <w:top w:w="0" w:type="dxa"/>
            <w:left w:w="108" w:type="dxa"/>
            <w:bottom w:w="0" w:type="dxa"/>
            <w:right w:w="108" w:type="dxa"/>
          </w:tblCellMar>
        </w:tblPrEx>
        <w:trPr>
          <w:trHeight w:val="2345" w:hRule="atLeast"/>
        </w:trPr>
        <w:tc>
          <w:tcPr>
            <w:tcW w:w="724"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9</w:t>
            </w:r>
          </w:p>
        </w:tc>
        <w:tc>
          <w:tcPr>
            <w:tcW w:w="1276" w:type="dxa"/>
            <w:tcBorders>
              <w:top w:val="single" w:color="auto" w:sz="4" w:space="0"/>
              <w:left w:val="nil"/>
              <w:bottom w:val="single" w:color="auto" w:sz="4" w:space="0"/>
              <w:right w:val="single" w:color="auto" w:sz="4" w:space="0"/>
            </w:tcBorders>
            <w:vAlign w:val="center"/>
          </w:tcPr>
          <w:p>
            <w:pPr>
              <w:widowControl/>
              <w:jc w:val="center"/>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非重大股权和投资基金情况报告</w:t>
            </w:r>
          </w:p>
        </w:tc>
        <w:tc>
          <w:tcPr>
            <w:tcW w:w="2977" w:type="dxa"/>
            <w:tcBorders>
              <w:top w:val="single" w:color="auto" w:sz="4" w:space="0"/>
              <w:left w:val="nil"/>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《中国保监会关于印发&lt;保险资金投资股权暂行办法&gt;的通知》（保监发〔2010〕79号）</w:t>
            </w:r>
          </w:p>
        </w:tc>
        <w:tc>
          <w:tcPr>
            <w:tcW w:w="7966" w:type="dxa"/>
            <w:tcBorders>
              <w:top w:val="single" w:color="auto" w:sz="4" w:space="0"/>
              <w:left w:val="nil"/>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第三十一条 保险公司进行非重大股权投资和投资基金投资的，应当在签署投资协议后5个工作日内，向中国保监会报告，除提交本办法第三十条第（三）、（六）、（八）项规定的内容外，还应当提交以下材料：</w:t>
            </w:r>
            <w:r>
              <w:rPr>
                <w:rFonts w:hint="eastAsia" w:ascii="仿宋" w:hAnsi="仿宋" w:eastAsia="仿宋" w:cs="宋体"/>
                <w:color w:val="000000"/>
                <w:kern w:val="0"/>
                <w:sz w:val="20"/>
                <w:szCs w:val="20"/>
              </w:rPr>
              <w:br w:type="textWrapping"/>
            </w:r>
            <w:r>
              <w:rPr>
                <w:rFonts w:hint="eastAsia" w:ascii="仿宋" w:hAnsi="仿宋" w:eastAsia="仿宋" w:cs="宋体"/>
                <w:color w:val="000000"/>
                <w:kern w:val="0"/>
                <w:sz w:val="20"/>
                <w:szCs w:val="20"/>
              </w:rPr>
              <w:t>（一）董事会或者其授权机构的投资决议；</w:t>
            </w:r>
            <w:r>
              <w:rPr>
                <w:rFonts w:hint="eastAsia" w:ascii="仿宋" w:hAnsi="仿宋" w:eastAsia="仿宋" w:cs="宋体"/>
                <w:color w:val="000000"/>
                <w:kern w:val="0"/>
                <w:sz w:val="20"/>
                <w:szCs w:val="20"/>
              </w:rPr>
              <w:br w:type="textWrapping"/>
            </w:r>
            <w:r>
              <w:rPr>
                <w:rFonts w:hint="eastAsia" w:ascii="仿宋" w:hAnsi="仿宋" w:eastAsia="仿宋" w:cs="宋体"/>
                <w:color w:val="000000"/>
                <w:kern w:val="0"/>
                <w:sz w:val="20"/>
                <w:szCs w:val="20"/>
              </w:rPr>
              <w:t>（二）投资可行性报告、合规报告、关联交易说明、后续管理方案、法律意见书及投资协议或者认购协议；</w:t>
            </w:r>
            <w:r>
              <w:rPr>
                <w:rFonts w:hint="eastAsia" w:ascii="仿宋" w:hAnsi="仿宋" w:eastAsia="仿宋" w:cs="宋体"/>
                <w:color w:val="000000"/>
                <w:kern w:val="0"/>
                <w:sz w:val="20"/>
                <w:szCs w:val="20"/>
              </w:rPr>
              <w:br w:type="textWrapping"/>
            </w:r>
            <w:r>
              <w:rPr>
                <w:rFonts w:hint="eastAsia" w:ascii="仿宋" w:hAnsi="仿宋" w:eastAsia="仿宋" w:cs="宋体"/>
                <w:color w:val="000000"/>
                <w:kern w:val="0"/>
                <w:sz w:val="20"/>
                <w:szCs w:val="20"/>
              </w:rPr>
              <w:t>（三）对投资机构及投资基金的评估报告。</w:t>
            </w:r>
          </w:p>
        </w:tc>
        <w:tc>
          <w:tcPr>
            <w:tcW w:w="1777" w:type="dxa"/>
            <w:tcBorders>
              <w:top w:val="single" w:color="auto" w:sz="4" w:space="0"/>
              <w:left w:val="nil"/>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按照《关于印发&lt;保险资金股权投资信息报告监管口径&gt;的通知》（资金部函〔2018〕35号）要求通过信息系统报送。</w:t>
            </w:r>
          </w:p>
        </w:tc>
      </w:tr>
      <w:tr>
        <w:tblPrEx>
          <w:tblCellMar>
            <w:top w:w="0" w:type="dxa"/>
            <w:left w:w="108" w:type="dxa"/>
            <w:bottom w:w="0" w:type="dxa"/>
            <w:right w:w="108" w:type="dxa"/>
          </w:tblCellMar>
        </w:tblPrEx>
        <w:trPr>
          <w:trHeight w:val="855" w:hRule="atLeast"/>
        </w:trPr>
        <w:tc>
          <w:tcPr>
            <w:tcW w:w="724"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10</w:t>
            </w:r>
          </w:p>
        </w:tc>
        <w:tc>
          <w:tcPr>
            <w:tcW w:w="1276" w:type="dxa"/>
            <w:tcBorders>
              <w:top w:val="single" w:color="auto" w:sz="4" w:space="0"/>
              <w:left w:val="nil"/>
              <w:bottom w:val="single" w:color="auto" w:sz="4" w:space="0"/>
              <w:right w:val="single" w:color="auto" w:sz="4" w:space="0"/>
            </w:tcBorders>
            <w:vAlign w:val="center"/>
          </w:tcPr>
          <w:p>
            <w:pPr>
              <w:widowControl/>
              <w:jc w:val="center"/>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股权投资基金年度报告</w:t>
            </w:r>
          </w:p>
        </w:tc>
        <w:tc>
          <w:tcPr>
            <w:tcW w:w="2977" w:type="dxa"/>
            <w:tcBorders>
              <w:top w:val="single" w:color="auto" w:sz="4" w:space="0"/>
              <w:left w:val="nil"/>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《中国保监会关于印发&lt;保险资金投资股权暂行办法&gt;的通知》（保监发〔2010〕79号）</w:t>
            </w:r>
          </w:p>
        </w:tc>
        <w:tc>
          <w:tcPr>
            <w:tcW w:w="7966" w:type="dxa"/>
            <w:tcBorders>
              <w:top w:val="single" w:color="auto" w:sz="4" w:space="0"/>
              <w:left w:val="nil"/>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第三十三条 投资机构应当于每年3月31日前，就保险资金投资股权投资基金的情况，向中国保监会提交年度报告。</w:t>
            </w:r>
          </w:p>
        </w:tc>
        <w:tc>
          <w:tcPr>
            <w:tcW w:w="1777" w:type="dxa"/>
            <w:tcBorders>
              <w:top w:val="single" w:color="auto" w:sz="4" w:space="0"/>
              <w:left w:val="nil"/>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按照《关于印发&lt;保险资金股权投资信息报告监管口径&gt;的通知》（资金部函〔2018〕35号）要求通过信息系统报送。</w:t>
            </w:r>
          </w:p>
        </w:tc>
      </w:tr>
      <w:tr>
        <w:tblPrEx>
          <w:tblCellMar>
            <w:top w:w="0" w:type="dxa"/>
            <w:left w:w="108" w:type="dxa"/>
            <w:bottom w:w="0" w:type="dxa"/>
            <w:right w:w="108" w:type="dxa"/>
          </w:tblCellMar>
        </w:tblPrEx>
        <w:trPr>
          <w:trHeight w:val="1316" w:hRule="atLeast"/>
        </w:trPr>
        <w:tc>
          <w:tcPr>
            <w:tcW w:w="724"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11</w:t>
            </w:r>
          </w:p>
        </w:tc>
        <w:tc>
          <w:tcPr>
            <w:tcW w:w="127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不动产投资协议报告</w:t>
            </w:r>
          </w:p>
        </w:tc>
        <w:tc>
          <w:tcPr>
            <w:tcW w:w="2977" w:type="dxa"/>
            <w:tcBorders>
              <w:top w:val="single" w:color="auto" w:sz="4" w:space="0"/>
              <w:left w:val="single" w:color="auto" w:sz="4" w:space="0"/>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《中国保监会关于印发&lt;保险资金投资不动产暂行办法&gt;的通知》（保监发〔2010〕80号）</w:t>
            </w:r>
          </w:p>
        </w:tc>
        <w:tc>
          <w:tcPr>
            <w:tcW w:w="7966" w:type="dxa"/>
            <w:tcBorders>
              <w:top w:val="single" w:color="auto" w:sz="4" w:space="0"/>
              <w:left w:val="single" w:color="auto" w:sz="4" w:space="0"/>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第二十九条 保险公司投资不动产，投资余额超过20亿元或者超过可投资额度20％的，应当在投资协议签署后5个工作日内，向中国保监会报告；对已投资不动产项目追加投资的，应当……在投资协议签署后5个工作日内，向中国保监会报告。</w:t>
            </w:r>
          </w:p>
        </w:tc>
        <w:tc>
          <w:tcPr>
            <w:tcW w:w="1777" w:type="dxa"/>
            <w:tcBorders>
              <w:top w:val="single" w:color="auto" w:sz="4" w:space="0"/>
              <w:left w:val="single" w:color="auto" w:sz="4" w:space="0"/>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　</w:t>
            </w:r>
          </w:p>
        </w:tc>
      </w:tr>
      <w:tr>
        <w:tblPrEx>
          <w:tblCellMar>
            <w:top w:w="0" w:type="dxa"/>
            <w:left w:w="108" w:type="dxa"/>
            <w:bottom w:w="0" w:type="dxa"/>
            <w:right w:w="108" w:type="dxa"/>
          </w:tblCellMar>
        </w:tblPrEx>
        <w:trPr>
          <w:trHeight w:val="1426" w:hRule="atLeast"/>
        </w:trPr>
        <w:tc>
          <w:tcPr>
            <w:tcW w:w="724"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12</w:t>
            </w:r>
          </w:p>
        </w:tc>
        <w:tc>
          <w:tcPr>
            <w:tcW w:w="1276" w:type="dxa"/>
            <w:tcBorders>
              <w:top w:val="single" w:color="auto" w:sz="4" w:space="0"/>
              <w:left w:val="nil"/>
              <w:bottom w:val="single" w:color="auto" w:sz="4" w:space="0"/>
              <w:right w:val="single" w:color="auto" w:sz="4" w:space="0"/>
            </w:tcBorders>
            <w:vAlign w:val="center"/>
          </w:tcPr>
          <w:p>
            <w:pPr>
              <w:widowControl/>
              <w:jc w:val="center"/>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特殊机构客户模式报告</w:t>
            </w:r>
          </w:p>
        </w:tc>
        <w:tc>
          <w:tcPr>
            <w:tcW w:w="2977" w:type="dxa"/>
            <w:tcBorders>
              <w:top w:val="single" w:color="auto" w:sz="4" w:space="0"/>
              <w:left w:val="nil"/>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《关于保险机构投资证券交易问题的通知》(保监发〔2011〕77号)</w:t>
            </w:r>
          </w:p>
        </w:tc>
        <w:tc>
          <w:tcPr>
            <w:tcW w:w="7966" w:type="dxa"/>
            <w:tcBorders>
              <w:top w:val="single" w:color="auto" w:sz="4" w:space="0"/>
              <w:left w:val="nil"/>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六、保险机构参与特殊机构客户模式试点，应当在协议签署后5个工作日内向中国保监会报告……</w:t>
            </w:r>
          </w:p>
        </w:tc>
        <w:tc>
          <w:tcPr>
            <w:tcW w:w="1777" w:type="dxa"/>
            <w:tcBorders>
              <w:top w:val="single" w:color="auto" w:sz="4" w:space="0"/>
              <w:left w:val="nil"/>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　</w:t>
            </w:r>
          </w:p>
        </w:tc>
      </w:tr>
      <w:tr>
        <w:tblPrEx>
          <w:tblCellMar>
            <w:top w:w="0" w:type="dxa"/>
            <w:left w:w="108" w:type="dxa"/>
            <w:bottom w:w="0" w:type="dxa"/>
            <w:right w:w="108" w:type="dxa"/>
          </w:tblCellMar>
        </w:tblPrEx>
        <w:trPr>
          <w:trHeight w:val="1380" w:hRule="atLeast"/>
        </w:trPr>
        <w:tc>
          <w:tcPr>
            <w:tcW w:w="724"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13</w:t>
            </w:r>
          </w:p>
        </w:tc>
        <w:tc>
          <w:tcPr>
            <w:tcW w:w="127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交易单元租用报告</w:t>
            </w:r>
          </w:p>
        </w:tc>
        <w:tc>
          <w:tcPr>
            <w:tcW w:w="2977" w:type="dxa"/>
            <w:tcBorders>
              <w:top w:val="single" w:color="auto" w:sz="4" w:space="0"/>
              <w:left w:val="single" w:color="auto" w:sz="4" w:space="0"/>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《关于保险机构投资证券交易问题的通知》(保监发〔2011〕77号)</w:t>
            </w:r>
          </w:p>
        </w:tc>
        <w:tc>
          <w:tcPr>
            <w:tcW w:w="7966" w:type="dxa"/>
            <w:tcBorders>
              <w:top w:val="single" w:color="auto" w:sz="4" w:space="0"/>
              <w:left w:val="single" w:color="auto" w:sz="4" w:space="0"/>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七、……保险机构应于办理租用交易单元手续后5个工作日内，向中国保监会报告证券公司及其营业机构名称、托管银行名称和租用交易单元号码等信息。</w:t>
            </w:r>
          </w:p>
        </w:tc>
        <w:tc>
          <w:tcPr>
            <w:tcW w:w="1777" w:type="dxa"/>
            <w:tcBorders>
              <w:top w:val="single" w:color="auto" w:sz="4" w:space="0"/>
              <w:left w:val="single" w:color="auto" w:sz="4" w:space="0"/>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　</w:t>
            </w:r>
          </w:p>
        </w:tc>
      </w:tr>
      <w:tr>
        <w:tblPrEx>
          <w:tblCellMar>
            <w:top w:w="0" w:type="dxa"/>
            <w:left w:w="108" w:type="dxa"/>
            <w:bottom w:w="0" w:type="dxa"/>
            <w:right w:w="108" w:type="dxa"/>
          </w:tblCellMar>
        </w:tblPrEx>
        <w:trPr>
          <w:trHeight w:val="1256" w:hRule="atLeast"/>
        </w:trPr>
        <w:tc>
          <w:tcPr>
            <w:tcW w:w="724"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14</w:t>
            </w:r>
          </w:p>
        </w:tc>
        <w:tc>
          <w:tcPr>
            <w:tcW w:w="1276" w:type="dxa"/>
            <w:tcBorders>
              <w:top w:val="single" w:color="auto" w:sz="4" w:space="0"/>
              <w:left w:val="nil"/>
              <w:bottom w:val="single" w:color="auto" w:sz="4" w:space="0"/>
              <w:right w:val="single" w:color="auto" w:sz="4" w:space="0"/>
            </w:tcBorders>
            <w:vAlign w:val="center"/>
          </w:tcPr>
          <w:p>
            <w:pPr>
              <w:widowControl/>
              <w:jc w:val="center"/>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证券账户开立报告</w:t>
            </w:r>
          </w:p>
        </w:tc>
        <w:tc>
          <w:tcPr>
            <w:tcW w:w="2977" w:type="dxa"/>
            <w:tcBorders>
              <w:top w:val="single" w:color="auto" w:sz="4" w:space="0"/>
              <w:left w:val="nil"/>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《关于保险机构投资证券交易问题的通知》(保监发〔2011〕77号)</w:t>
            </w:r>
          </w:p>
        </w:tc>
        <w:tc>
          <w:tcPr>
            <w:tcW w:w="7966" w:type="dxa"/>
            <w:tcBorders>
              <w:top w:val="single" w:color="auto" w:sz="4" w:space="0"/>
              <w:left w:val="nil"/>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七、……保险机构开立证券账户……并在开立证券账户后5个工作日内，向中国保监会报告开立证券账户名称、资金性质、股东代码及托管银行名称信息……</w:t>
            </w:r>
          </w:p>
        </w:tc>
        <w:tc>
          <w:tcPr>
            <w:tcW w:w="1777" w:type="dxa"/>
            <w:tcBorders>
              <w:top w:val="single" w:color="auto" w:sz="4" w:space="0"/>
              <w:left w:val="nil"/>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p>
        </w:tc>
      </w:tr>
      <w:tr>
        <w:tblPrEx>
          <w:tblCellMar>
            <w:top w:w="0" w:type="dxa"/>
            <w:left w:w="108" w:type="dxa"/>
            <w:bottom w:w="0" w:type="dxa"/>
            <w:right w:w="108" w:type="dxa"/>
          </w:tblCellMar>
        </w:tblPrEx>
        <w:trPr>
          <w:trHeight w:val="1096" w:hRule="atLeast"/>
        </w:trPr>
        <w:tc>
          <w:tcPr>
            <w:tcW w:w="724"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15</w:t>
            </w:r>
          </w:p>
        </w:tc>
        <w:tc>
          <w:tcPr>
            <w:tcW w:w="127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债券价值偏离情况季度报告</w:t>
            </w:r>
          </w:p>
        </w:tc>
        <w:tc>
          <w:tcPr>
            <w:tcW w:w="2977" w:type="dxa"/>
            <w:tcBorders>
              <w:top w:val="single" w:color="auto" w:sz="4" w:space="0"/>
              <w:left w:val="single" w:color="auto" w:sz="4" w:space="0"/>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《中国保监会关于印发&lt;保险资金投资债券暂行办法&gt;的通知》（保监发〔2012〕58号）</w:t>
            </w:r>
          </w:p>
        </w:tc>
        <w:tc>
          <w:tcPr>
            <w:tcW w:w="7966" w:type="dxa"/>
            <w:tcBorders>
              <w:top w:val="single" w:color="auto" w:sz="4" w:space="0"/>
              <w:left w:val="single" w:color="auto" w:sz="4" w:space="0"/>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第三十二条 ……债券发行时，保险资金报价偏离公开市场可比债券合理估值1%以上的，或者所投资债券交易价格偏离市场合理估值1%以上的，应当于下一个季度前10个工作日内，向中国保监会报告并说明影响因素及应对方案。</w:t>
            </w:r>
          </w:p>
        </w:tc>
        <w:tc>
          <w:tcPr>
            <w:tcW w:w="1777" w:type="dxa"/>
            <w:tcBorders>
              <w:top w:val="single" w:color="auto" w:sz="4" w:space="0"/>
              <w:left w:val="single" w:color="auto" w:sz="4" w:space="0"/>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　</w:t>
            </w:r>
          </w:p>
        </w:tc>
      </w:tr>
      <w:tr>
        <w:trPr>
          <w:trHeight w:val="855" w:hRule="atLeast"/>
        </w:trPr>
        <w:tc>
          <w:tcPr>
            <w:tcW w:w="724"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16</w:t>
            </w:r>
          </w:p>
        </w:tc>
        <w:tc>
          <w:tcPr>
            <w:tcW w:w="1276" w:type="dxa"/>
            <w:tcBorders>
              <w:top w:val="single" w:color="auto" w:sz="4" w:space="0"/>
              <w:left w:val="nil"/>
              <w:bottom w:val="single" w:color="auto" w:sz="4" w:space="0"/>
              <w:right w:val="single" w:color="auto" w:sz="4" w:space="0"/>
            </w:tcBorders>
            <w:vAlign w:val="center"/>
          </w:tcPr>
          <w:p>
            <w:pPr>
              <w:widowControl/>
              <w:jc w:val="center"/>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债券估值规则报告</w:t>
            </w:r>
          </w:p>
        </w:tc>
        <w:tc>
          <w:tcPr>
            <w:tcW w:w="2977" w:type="dxa"/>
            <w:tcBorders>
              <w:top w:val="single" w:color="auto" w:sz="4" w:space="0"/>
              <w:left w:val="nil"/>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《中国保监会关于印发&lt;保险资金投资债券暂行办法&gt;的通知》（保监发〔2012〕58号）</w:t>
            </w:r>
          </w:p>
        </w:tc>
        <w:tc>
          <w:tcPr>
            <w:tcW w:w="7966" w:type="dxa"/>
            <w:tcBorders>
              <w:top w:val="single" w:color="auto" w:sz="4" w:space="0"/>
              <w:left w:val="nil"/>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第三十三条 ……保险公司和专业投资管理机构，应当向中国保监会报告债券估值的规则。</w:t>
            </w:r>
          </w:p>
        </w:tc>
        <w:tc>
          <w:tcPr>
            <w:tcW w:w="1777" w:type="dxa"/>
            <w:tcBorders>
              <w:top w:val="single" w:color="auto" w:sz="4" w:space="0"/>
              <w:left w:val="nil"/>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　</w:t>
            </w:r>
          </w:p>
        </w:tc>
      </w:tr>
      <w:tr>
        <w:tblPrEx>
          <w:tblCellMar>
            <w:top w:w="0" w:type="dxa"/>
            <w:left w:w="108" w:type="dxa"/>
            <w:bottom w:w="0" w:type="dxa"/>
            <w:right w:w="108" w:type="dxa"/>
          </w:tblCellMar>
        </w:tblPrEx>
        <w:trPr>
          <w:trHeight w:val="2295" w:hRule="atLeast"/>
        </w:trPr>
        <w:tc>
          <w:tcPr>
            <w:tcW w:w="724"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17</w:t>
            </w:r>
          </w:p>
        </w:tc>
        <w:tc>
          <w:tcPr>
            <w:tcW w:w="127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开展委托投资情况报告</w:t>
            </w:r>
          </w:p>
        </w:tc>
        <w:tc>
          <w:tcPr>
            <w:tcW w:w="2977" w:type="dxa"/>
            <w:tcBorders>
              <w:top w:val="single" w:color="auto" w:sz="4" w:space="0"/>
              <w:left w:val="single" w:color="auto" w:sz="4" w:space="0"/>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《中国保监会关于印发&lt;保险资金委托投资管理暂行办法&gt;的通知》（保监发〔2012〕60号）</w:t>
            </w:r>
          </w:p>
        </w:tc>
        <w:tc>
          <w:tcPr>
            <w:tcW w:w="7966" w:type="dxa"/>
            <w:tcBorders>
              <w:top w:val="single" w:color="auto" w:sz="4" w:space="0"/>
              <w:left w:val="single" w:color="auto" w:sz="4" w:space="0"/>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spacing w:val="-6"/>
                <w:kern w:val="0"/>
                <w:sz w:val="20"/>
                <w:szCs w:val="20"/>
              </w:rPr>
              <w:t>第二十四条 保险公司开展委托投资，应当向中国保监会报告，并提交以下书面材料：</w:t>
            </w:r>
            <w:r>
              <w:rPr>
                <w:rFonts w:hint="eastAsia" w:ascii="仿宋" w:hAnsi="仿宋" w:eastAsia="仿宋" w:cs="宋体"/>
                <w:color w:val="000000"/>
                <w:spacing w:val="-6"/>
                <w:kern w:val="0"/>
                <w:sz w:val="20"/>
                <w:szCs w:val="20"/>
              </w:rPr>
              <w:br w:type="textWrapping"/>
            </w:r>
            <w:r>
              <w:rPr>
                <w:rFonts w:hint="eastAsia" w:ascii="仿宋" w:hAnsi="仿宋" w:eastAsia="仿宋" w:cs="宋体"/>
                <w:color w:val="000000"/>
                <w:kern w:val="0"/>
                <w:sz w:val="20"/>
                <w:szCs w:val="20"/>
              </w:rPr>
              <w:t>（一）股东（大）会或者董事会有关开展委托投资的决议；</w:t>
            </w:r>
            <w:r>
              <w:rPr>
                <w:rFonts w:hint="eastAsia" w:ascii="仿宋" w:hAnsi="仿宋" w:eastAsia="仿宋" w:cs="宋体"/>
                <w:color w:val="000000"/>
                <w:kern w:val="0"/>
                <w:sz w:val="20"/>
                <w:szCs w:val="20"/>
              </w:rPr>
              <w:br w:type="textWrapping"/>
            </w:r>
            <w:r>
              <w:rPr>
                <w:rFonts w:hint="eastAsia" w:ascii="仿宋" w:hAnsi="仿宋" w:eastAsia="仿宋" w:cs="宋体"/>
                <w:color w:val="000000"/>
                <w:kern w:val="0"/>
                <w:sz w:val="20"/>
                <w:szCs w:val="20"/>
              </w:rPr>
              <w:t>（二）公司治理、决策流程、管理体制及内控机制的说明；</w:t>
            </w:r>
            <w:r>
              <w:rPr>
                <w:rFonts w:hint="eastAsia" w:ascii="仿宋" w:hAnsi="仿宋" w:eastAsia="仿宋" w:cs="宋体"/>
                <w:color w:val="000000"/>
                <w:kern w:val="0"/>
                <w:sz w:val="20"/>
                <w:szCs w:val="20"/>
              </w:rPr>
              <w:br w:type="textWrapping"/>
            </w:r>
            <w:r>
              <w:rPr>
                <w:rFonts w:hint="eastAsia" w:ascii="仿宋" w:hAnsi="仿宋" w:eastAsia="仿宋" w:cs="宋体"/>
                <w:color w:val="000000"/>
                <w:kern w:val="0"/>
                <w:sz w:val="20"/>
                <w:szCs w:val="20"/>
              </w:rPr>
              <w:t>（三）资产管理部门、岗位设置及专业人员资质的说明；</w:t>
            </w:r>
            <w:r>
              <w:rPr>
                <w:rFonts w:hint="eastAsia" w:ascii="仿宋" w:hAnsi="仿宋" w:eastAsia="仿宋" w:cs="宋体"/>
                <w:color w:val="000000"/>
                <w:kern w:val="0"/>
                <w:sz w:val="20"/>
                <w:szCs w:val="20"/>
              </w:rPr>
              <w:br w:type="textWrapping"/>
            </w:r>
            <w:r>
              <w:rPr>
                <w:rFonts w:hint="eastAsia" w:ascii="仿宋" w:hAnsi="仿宋" w:eastAsia="仿宋" w:cs="宋体"/>
                <w:color w:val="000000"/>
                <w:kern w:val="0"/>
                <w:sz w:val="20"/>
                <w:szCs w:val="20"/>
              </w:rPr>
              <w:t>（四）委托投资管理制度；</w:t>
            </w:r>
            <w:r>
              <w:rPr>
                <w:rFonts w:hint="eastAsia" w:ascii="仿宋" w:hAnsi="仿宋" w:eastAsia="仿宋" w:cs="宋体"/>
                <w:color w:val="000000"/>
                <w:kern w:val="0"/>
                <w:sz w:val="20"/>
                <w:szCs w:val="20"/>
              </w:rPr>
              <w:br w:type="textWrapping"/>
            </w:r>
            <w:r>
              <w:rPr>
                <w:rFonts w:hint="eastAsia" w:ascii="仿宋" w:hAnsi="仿宋" w:eastAsia="仿宋" w:cs="宋体"/>
                <w:color w:val="000000"/>
                <w:kern w:val="0"/>
                <w:sz w:val="20"/>
                <w:szCs w:val="20"/>
              </w:rPr>
              <w:t>（五）委托投资资产配置计划；</w:t>
            </w:r>
            <w:r>
              <w:rPr>
                <w:rFonts w:hint="eastAsia" w:ascii="仿宋" w:hAnsi="仿宋" w:eastAsia="仿宋" w:cs="宋体"/>
                <w:color w:val="000000"/>
                <w:kern w:val="0"/>
                <w:sz w:val="20"/>
                <w:szCs w:val="20"/>
              </w:rPr>
              <w:br w:type="textWrapping"/>
            </w:r>
            <w:r>
              <w:rPr>
                <w:rFonts w:hint="eastAsia" w:ascii="仿宋" w:hAnsi="仿宋" w:eastAsia="仿宋" w:cs="宋体"/>
                <w:color w:val="000000"/>
                <w:kern w:val="0"/>
                <w:sz w:val="20"/>
                <w:szCs w:val="20"/>
              </w:rPr>
              <w:t>（六）选聘投资管理人情况和签订的相关协议。</w:t>
            </w:r>
          </w:p>
        </w:tc>
        <w:tc>
          <w:tcPr>
            <w:tcW w:w="1777" w:type="dxa"/>
            <w:tcBorders>
              <w:top w:val="single" w:color="auto" w:sz="4" w:space="0"/>
              <w:left w:val="single" w:color="auto" w:sz="4" w:space="0"/>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p>
        </w:tc>
      </w:tr>
      <w:tr>
        <w:tblPrEx>
          <w:tblCellMar>
            <w:top w:w="0" w:type="dxa"/>
            <w:left w:w="108" w:type="dxa"/>
            <w:bottom w:w="0" w:type="dxa"/>
            <w:right w:w="108" w:type="dxa"/>
          </w:tblCellMar>
        </w:tblPrEx>
        <w:trPr>
          <w:trHeight w:val="1610" w:hRule="atLeast"/>
        </w:trPr>
        <w:tc>
          <w:tcPr>
            <w:tcW w:w="724"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18</w:t>
            </w:r>
          </w:p>
        </w:tc>
        <w:tc>
          <w:tcPr>
            <w:tcW w:w="1276" w:type="dxa"/>
            <w:tcBorders>
              <w:top w:val="single" w:color="auto" w:sz="4" w:space="0"/>
              <w:left w:val="nil"/>
              <w:bottom w:val="single" w:color="auto" w:sz="4" w:space="0"/>
              <w:right w:val="single" w:color="auto" w:sz="4" w:space="0"/>
            </w:tcBorders>
            <w:vAlign w:val="center"/>
          </w:tcPr>
          <w:p>
            <w:pPr>
              <w:widowControl/>
              <w:jc w:val="center"/>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委托投资季度和年度报告</w:t>
            </w:r>
          </w:p>
        </w:tc>
        <w:tc>
          <w:tcPr>
            <w:tcW w:w="2977" w:type="dxa"/>
            <w:tcBorders>
              <w:top w:val="single" w:color="auto" w:sz="4" w:space="0"/>
              <w:left w:val="nil"/>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《中国保监会关于印发&lt;保险资金委托投资管理暂行办法&gt;的通知》（保监发〔2012〕60号）</w:t>
            </w:r>
          </w:p>
        </w:tc>
        <w:tc>
          <w:tcPr>
            <w:tcW w:w="7966" w:type="dxa"/>
            <w:tcBorders>
              <w:top w:val="single" w:color="auto" w:sz="4" w:space="0"/>
              <w:left w:val="nil"/>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第二十七条 保险公司开展委托投资，应当于每季度结束后30个工作日内和每年4月30日前，分别向中国保监会提交季度报告和年度报告，至少包括以下内容：</w:t>
            </w:r>
            <w:r>
              <w:rPr>
                <w:rFonts w:hint="eastAsia" w:ascii="仿宋" w:hAnsi="仿宋" w:eastAsia="仿宋" w:cs="宋体"/>
                <w:color w:val="000000"/>
                <w:kern w:val="0"/>
                <w:sz w:val="20"/>
                <w:szCs w:val="20"/>
              </w:rPr>
              <w:br w:type="textWrapping"/>
            </w:r>
            <w:r>
              <w:rPr>
                <w:rFonts w:hint="eastAsia" w:ascii="仿宋" w:hAnsi="仿宋" w:eastAsia="仿宋" w:cs="宋体"/>
                <w:color w:val="000000"/>
                <w:kern w:val="0"/>
                <w:sz w:val="20"/>
                <w:szCs w:val="20"/>
              </w:rPr>
              <w:t>（一）保险公司对投资管理人及委托投资资产，开展持续监测和绩效评估等情况；</w:t>
            </w:r>
            <w:r>
              <w:rPr>
                <w:rFonts w:hint="eastAsia" w:ascii="仿宋" w:hAnsi="仿宋" w:eastAsia="仿宋" w:cs="宋体"/>
                <w:color w:val="000000"/>
                <w:kern w:val="0"/>
                <w:sz w:val="20"/>
                <w:szCs w:val="20"/>
              </w:rPr>
              <w:br w:type="textWrapping"/>
            </w:r>
            <w:r>
              <w:rPr>
                <w:rFonts w:hint="eastAsia" w:ascii="仿宋" w:hAnsi="仿宋" w:eastAsia="仿宋" w:cs="宋体"/>
                <w:color w:val="000000"/>
                <w:kern w:val="0"/>
                <w:sz w:val="20"/>
                <w:szCs w:val="20"/>
              </w:rPr>
              <w:t>（二）委托投资资产风险、投资及合规状况和危机事件等状况；</w:t>
            </w:r>
            <w:r>
              <w:rPr>
                <w:rFonts w:hint="eastAsia" w:ascii="仿宋" w:hAnsi="仿宋" w:eastAsia="仿宋" w:cs="宋体"/>
                <w:color w:val="000000"/>
                <w:kern w:val="0"/>
                <w:sz w:val="20"/>
                <w:szCs w:val="20"/>
              </w:rPr>
              <w:br w:type="textWrapping"/>
            </w:r>
            <w:r>
              <w:rPr>
                <w:rFonts w:hint="eastAsia" w:ascii="仿宋" w:hAnsi="仿宋" w:eastAsia="仿宋" w:cs="宋体"/>
                <w:color w:val="000000"/>
                <w:kern w:val="0"/>
                <w:sz w:val="20"/>
                <w:szCs w:val="20"/>
              </w:rPr>
              <w:t>（三）中国保监会规定的其他审慎性内容。</w:t>
            </w:r>
          </w:p>
        </w:tc>
        <w:tc>
          <w:tcPr>
            <w:tcW w:w="1777" w:type="dxa"/>
            <w:tcBorders>
              <w:top w:val="single" w:color="auto" w:sz="4" w:space="0"/>
              <w:left w:val="nil"/>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p>
        </w:tc>
      </w:tr>
      <w:tr>
        <w:tblPrEx>
          <w:tblCellMar>
            <w:top w:w="0" w:type="dxa"/>
            <w:left w:w="108" w:type="dxa"/>
            <w:bottom w:w="0" w:type="dxa"/>
            <w:right w:w="108" w:type="dxa"/>
          </w:tblCellMar>
        </w:tblPrEx>
        <w:trPr>
          <w:trHeight w:val="1355" w:hRule="atLeast"/>
        </w:trPr>
        <w:tc>
          <w:tcPr>
            <w:tcW w:w="724"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19</w:t>
            </w:r>
          </w:p>
        </w:tc>
        <w:tc>
          <w:tcPr>
            <w:tcW w:w="127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委托投资临时报告</w:t>
            </w:r>
          </w:p>
        </w:tc>
        <w:tc>
          <w:tcPr>
            <w:tcW w:w="2977" w:type="dxa"/>
            <w:tcBorders>
              <w:top w:val="single" w:color="auto" w:sz="4" w:space="0"/>
              <w:left w:val="single" w:color="auto" w:sz="4" w:space="0"/>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《中国保监会关于印发&lt;保险资金委托投资管理暂行办法&gt;的通知》 （保监发〔2012〕60号）</w:t>
            </w:r>
          </w:p>
        </w:tc>
        <w:tc>
          <w:tcPr>
            <w:tcW w:w="7966" w:type="dxa"/>
            <w:tcBorders>
              <w:top w:val="single" w:color="auto" w:sz="4" w:space="0"/>
              <w:left w:val="single" w:color="auto" w:sz="4" w:space="0"/>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第二十八条 保险公司应当在下列情形发生5个工作日内，向中国保监会报告：</w:t>
            </w:r>
            <w:r>
              <w:rPr>
                <w:rFonts w:hint="eastAsia" w:ascii="仿宋" w:hAnsi="仿宋" w:eastAsia="仿宋" w:cs="宋体"/>
                <w:color w:val="000000"/>
                <w:kern w:val="0"/>
                <w:sz w:val="20"/>
                <w:szCs w:val="20"/>
              </w:rPr>
              <w:br w:type="textWrapping"/>
            </w:r>
            <w:r>
              <w:rPr>
                <w:rFonts w:hint="eastAsia" w:ascii="仿宋" w:hAnsi="仿宋" w:eastAsia="仿宋" w:cs="宋体"/>
                <w:color w:val="000000"/>
                <w:kern w:val="0"/>
                <w:sz w:val="20"/>
                <w:szCs w:val="20"/>
              </w:rPr>
              <w:t>（一）变更投资管理人或托管人；</w:t>
            </w:r>
          </w:p>
        </w:tc>
        <w:tc>
          <w:tcPr>
            <w:tcW w:w="1777" w:type="dxa"/>
            <w:tcBorders>
              <w:top w:val="single" w:color="auto" w:sz="4" w:space="0"/>
              <w:left w:val="single" w:color="auto" w:sz="4" w:space="0"/>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p>
        </w:tc>
      </w:tr>
      <w:tr>
        <w:tblPrEx>
          <w:tblCellMar>
            <w:top w:w="0" w:type="dxa"/>
            <w:left w:w="108" w:type="dxa"/>
            <w:bottom w:w="0" w:type="dxa"/>
            <w:right w:w="108" w:type="dxa"/>
          </w:tblCellMar>
        </w:tblPrEx>
        <w:trPr>
          <w:trHeight w:val="3325" w:hRule="atLeast"/>
        </w:trPr>
        <w:tc>
          <w:tcPr>
            <w:tcW w:w="724"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20</w:t>
            </w:r>
          </w:p>
        </w:tc>
        <w:tc>
          <w:tcPr>
            <w:tcW w:w="127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资产配置年度报告</w:t>
            </w:r>
          </w:p>
        </w:tc>
        <w:tc>
          <w:tcPr>
            <w:tcW w:w="2977" w:type="dxa"/>
            <w:tcBorders>
              <w:top w:val="single" w:color="auto" w:sz="4" w:space="0"/>
              <w:left w:val="single" w:color="auto" w:sz="4" w:space="0"/>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《中国保监会关于印发&lt;保险资产配置管理暂行办法&gt;的通知》（保监发〔2012〕61号）</w:t>
            </w:r>
          </w:p>
        </w:tc>
        <w:tc>
          <w:tcPr>
            <w:tcW w:w="7966" w:type="dxa"/>
            <w:tcBorders>
              <w:top w:val="single" w:color="auto" w:sz="4" w:space="0"/>
              <w:left w:val="single" w:color="auto" w:sz="4" w:space="0"/>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第三十六条 保险公司应当于每年3月30日前，向中国保监会报送上年度资产配置执行情况报告。主要内容包括：</w:t>
            </w:r>
            <w:r>
              <w:rPr>
                <w:rFonts w:hint="eastAsia" w:ascii="仿宋" w:hAnsi="仿宋" w:eastAsia="仿宋" w:cs="宋体"/>
                <w:color w:val="000000"/>
                <w:kern w:val="0"/>
                <w:sz w:val="20"/>
                <w:szCs w:val="20"/>
              </w:rPr>
              <w:br w:type="textWrapping"/>
            </w:r>
            <w:r>
              <w:rPr>
                <w:rFonts w:hint="eastAsia" w:ascii="仿宋" w:hAnsi="仿宋" w:eastAsia="仿宋" w:cs="宋体"/>
                <w:color w:val="000000"/>
                <w:kern w:val="0"/>
                <w:sz w:val="20"/>
                <w:szCs w:val="20"/>
              </w:rPr>
              <w:t>（一）相关市场运行分析；</w:t>
            </w:r>
            <w:r>
              <w:rPr>
                <w:rFonts w:hint="eastAsia" w:ascii="仿宋" w:hAnsi="仿宋" w:eastAsia="仿宋" w:cs="宋体"/>
                <w:color w:val="000000"/>
                <w:kern w:val="0"/>
                <w:sz w:val="20"/>
                <w:szCs w:val="20"/>
              </w:rPr>
              <w:br w:type="textWrapping"/>
            </w:r>
            <w:r>
              <w:rPr>
                <w:rFonts w:hint="eastAsia" w:ascii="仿宋" w:hAnsi="仿宋" w:eastAsia="仿宋" w:cs="宋体"/>
                <w:color w:val="000000"/>
                <w:kern w:val="0"/>
                <w:sz w:val="20"/>
                <w:szCs w:val="20"/>
              </w:rPr>
              <w:t>（二）资金流入流出情况及对各账户影响；</w:t>
            </w:r>
            <w:r>
              <w:rPr>
                <w:rFonts w:hint="eastAsia" w:ascii="仿宋" w:hAnsi="仿宋" w:eastAsia="仿宋" w:cs="宋体"/>
                <w:color w:val="000000"/>
                <w:kern w:val="0"/>
                <w:sz w:val="20"/>
                <w:szCs w:val="20"/>
              </w:rPr>
              <w:br w:type="textWrapping"/>
            </w:r>
            <w:r>
              <w:rPr>
                <w:rFonts w:hint="eastAsia" w:ascii="仿宋" w:hAnsi="仿宋" w:eastAsia="仿宋" w:cs="宋体"/>
                <w:color w:val="000000"/>
                <w:kern w:val="0"/>
                <w:sz w:val="20"/>
                <w:szCs w:val="20"/>
              </w:rPr>
              <w:t>（三）资产配置比例与变动情况；</w:t>
            </w:r>
            <w:r>
              <w:rPr>
                <w:rFonts w:hint="eastAsia" w:ascii="仿宋" w:hAnsi="仿宋" w:eastAsia="仿宋" w:cs="宋体"/>
                <w:color w:val="000000"/>
                <w:kern w:val="0"/>
                <w:sz w:val="20"/>
                <w:szCs w:val="20"/>
              </w:rPr>
              <w:br w:type="textWrapping"/>
            </w:r>
            <w:r>
              <w:rPr>
                <w:rFonts w:hint="eastAsia" w:ascii="仿宋" w:hAnsi="仿宋" w:eastAsia="仿宋" w:cs="宋体"/>
                <w:color w:val="000000"/>
                <w:kern w:val="0"/>
                <w:sz w:val="20"/>
                <w:szCs w:val="20"/>
              </w:rPr>
              <w:t>（四）实际资产配置比例与目标比例的差异及原因；</w:t>
            </w:r>
            <w:r>
              <w:rPr>
                <w:rFonts w:hint="eastAsia" w:ascii="仿宋" w:hAnsi="仿宋" w:eastAsia="仿宋" w:cs="宋体"/>
                <w:color w:val="000000"/>
                <w:kern w:val="0"/>
                <w:sz w:val="20"/>
                <w:szCs w:val="20"/>
              </w:rPr>
              <w:br w:type="textWrapping"/>
            </w:r>
            <w:r>
              <w:rPr>
                <w:rFonts w:hint="eastAsia" w:ascii="仿宋" w:hAnsi="仿宋" w:eastAsia="仿宋" w:cs="宋体"/>
                <w:color w:val="000000"/>
                <w:kern w:val="0"/>
                <w:sz w:val="20"/>
                <w:szCs w:val="20"/>
              </w:rPr>
              <w:t>（五）整体收益率与预期收益率的差异及原因；</w:t>
            </w:r>
            <w:r>
              <w:rPr>
                <w:rFonts w:hint="eastAsia" w:ascii="仿宋" w:hAnsi="仿宋" w:eastAsia="仿宋" w:cs="宋体"/>
                <w:color w:val="000000"/>
                <w:kern w:val="0"/>
                <w:sz w:val="20"/>
                <w:szCs w:val="20"/>
              </w:rPr>
              <w:br w:type="textWrapping"/>
            </w:r>
            <w:r>
              <w:rPr>
                <w:rFonts w:hint="eastAsia" w:ascii="仿宋" w:hAnsi="仿宋" w:eastAsia="仿宋" w:cs="宋体"/>
                <w:color w:val="000000"/>
                <w:kern w:val="0"/>
                <w:sz w:val="20"/>
                <w:szCs w:val="20"/>
              </w:rPr>
              <w:t>（六）资产风险状况及对公司盈利能力和偿付能力的潜在影响；</w:t>
            </w:r>
            <w:r>
              <w:rPr>
                <w:rFonts w:hint="eastAsia" w:ascii="仿宋" w:hAnsi="仿宋" w:eastAsia="仿宋" w:cs="宋体"/>
                <w:color w:val="000000"/>
                <w:kern w:val="0"/>
                <w:sz w:val="20"/>
                <w:szCs w:val="20"/>
              </w:rPr>
              <w:br w:type="textWrapping"/>
            </w:r>
            <w:r>
              <w:rPr>
                <w:rFonts w:hint="eastAsia" w:ascii="仿宋" w:hAnsi="仿宋" w:eastAsia="仿宋" w:cs="宋体"/>
                <w:color w:val="000000"/>
                <w:kern w:val="0"/>
                <w:sz w:val="20"/>
                <w:szCs w:val="20"/>
              </w:rPr>
              <w:t>（七）中国保监会规定的其他内容。</w:t>
            </w:r>
          </w:p>
        </w:tc>
        <w:tc>
          <w:tcPr>
            <w:tcW w:w="1777" w:type="dxa"/>
            <w:tcBorders>
              <w:top w:val="single" w:color="auto" w:sz="4" w:space="0"/>
              <w:left w:val="single" w:color="auto" w:sz="4" w:space="0"/>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按照《中国保监会关于印发&lt;保险资产负债管理监管规则（1—5）号&gt;及开展试运行有关事项的通知》（保监发〔2018〕27号）要求通过信息系统报送。</w:t>
            </w:r>
          </w:p>
        </w:tc>
      </w:tr>
      <w:tr>
        <w:tblPrEx>
          <w:tblCellMar>
            <w:top w:w="0" w:type="dxa"/>
            <w:left w:w="108" w:type="dxa"/>
            <w:bottom w:w="0" w:type="dxa"/>
            <w:right w:w="108" w:type="dxa"/>
          </w:tblCellMar>
        </w:tblPrEx>
        <w:trPr>
          <w:trHeight w:val="2824" w:hRule="atLeast"/>
        </w:trPr>
        <w:tc>
          <w:tcPr>
            <w:tcW w:w="724"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21</w:t>
            </w:r>
          </w:p>
        </w:tc>
        <w:tc>
          <w:tcPr>
            <w:tcW w:w="1276" w:type="dxa"/>
            <w:tcBorders>
              <w:top w:val="single" w:color="auto" w:sz="4" w:space="0"/>
              <w:left w:val="nil"/>
              <w:bottom w:val="single" w:color="auto" w:sz="4" w:space="0"/>
              <w:right w:val="single" w:color="auto" w:sz="4" w:space="0"/>
            </w:tcBorders>
            <w:vAlign w:val="center"/>
          </w:tcPr>
          <w:p>
            <w:pPr>
              <w:widowControl/>
              <w:jc w:val="center"/>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资产配置制度执行情况报告</w:t>
            </w:r>
          </w:p>
        </w:tc>
        <w:tc>
          <w:tcPr>
            <w:tcW w:w="2977" w:type="dxa"/>
            <w:tcBorders>
              <w:top w:val="single" w:color="auto" w:sz="4" w:space="0"/>
              <w:left w:val="nil"/>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《中国保监会关于印发&lt;保险资产配置管理暂行办法&gt;的通知》（保监发〔2012〕61号）</w:t>
            </w:r>
          </w:p>
        </w:tc>
        <w:tc>
          <w:tcPr>
            <w:tcW w:w="7966" w:type="dxa"/>
            <w:tcBorders>
              <w:top w:val="single" w:color="auto" w:sz="4" w:space="0"/>
              <w:left w:val="nil"/>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第三十七条 保险公司应当及时向中国保监会报送资产配置管理制度、上年度资产配置执行情况……</w:t>
            </w:r>
          </w:p>
        </w:tc>
        <w:tc>
          <w:tcPr>
            <w:tcW w:w="1777" w:type="dxa"/>
            <w:tcBorders>
              <w:top w:val="single" w:color="auto" w:sz="4" w:space="0"/>
              <w:left w:val="nil"/>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按照《中国保监会关于印发&lt;保险资产负债管理监管规则（1—5）号&gt;及开展试运行有关事项的通知》（保监发〔2018〕27号）要求通过信息系统报送。</w:t>
            </w:r>
          </w:p>
        </w:tc>
      </w:tr>
      <w:tr>
        <w:tblPrEx>
          <w:tblCellMar>
            <w:top w:w="0" w:type="dxa"/>
            <w:left w:w="108" w:type="dxa"/>
            <w:bottom w:w="0" w:type="dxa"/>
            <w:right w:w="108" w:type="dxa"/>
          </w:tblCellMar>
        </w:tblPrEx>
        <w:trPr>
          <w:trHeight w:val="1846" w:hRule="atLeast"/>
        </w:trPr>
        <w:tc>
          <w:tcPr>
            <w:tcW w:w="724" w:type="dxa"/>
            <w:tcBorders>
              <w:top w:val="nil"/>
              <w:left w:val="single" w:color="auto" w:sz="4" w:space="0"/>
              <w:bottom w:val="single" w:color="auto" w:sz="4" w:space="0"/>
              <w:right w:val="single" w:color="auto" w:sz="4" w:space="0"/>
            </w:tcBorders>
            <w:vAlign w:val="center"/>
          </w:tcPr>
          <w:p>
            <w:pPr>
              <w:widowControl/>
              <w:jc w:val="center"/>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22</w:t>
            </w:r>
          </w:p>
        </w:tc>
        <w:tc>
          <w:tcPr>
            <w:tcW w:w="1276" w:type="dxa"/>
            <w:tcBorders>
              <w:top w:val="nil"/>
              <w:left w:val="nil"/>
              <w:bottom w:val="single" w:color="auto" w:sz="4" w:space="0"/>
              <w:right w:val="single" w:color="auto" w:sz="4" w:space="0"/>
            </w:tcBorders>
            <w:vAlign w:val="center"/>
          </w:tcPr>
          <w:p>
            <w:pPr>
              <w:widowControl/>
              <w:jc w:val="center"/>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境外委托投资及托管报告</w:t>
            </w:r>
          </w:p>
        </w:tc>
        <w:tc>
          <w:tcPr>
            <w:tcW w:w="2977" w:type="dxa"/>
            <w:tcBorders>
              <w:top w:val="nil"/>
              <w:left w:val="nil"/>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《关于印发&lt;保险资金境外投资管理暂行办法实施细则&gt;的通知》（保监发〔2012〕93号）</w:t>
            </w:r>
          </w:p>
        </w:tc>
        <w:tc>
          <w:tcPr>
            <w:tcW w:w="7966" w:type="dxa"/>
            <w:tcBorders>
              <w:top w:val="nil"/>
              <w:left w:val="nil"/>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第三十条 委托人应当按照规定，向中国保监会报告下列事项：</w:t>
            </w:r>
            <w:r>
              <w:rPr>
                <w:rFonts w:hint="eastAsia" w:ascii="仿宋" w:hAnsi="仿宋" w:eastAsia="仿宋" w:cs="宋体"/>
                <w:color w:val="000000"/>
                <w:kern w:val="0"/>
                <w:sz w:val="20"/>
                <w:szCs w:val="20"/>
              </w:rPr>
              <w:br w:type="textWrapping"/>
            </w:r>
            <w:r>
              <w:rPr>
                <w:rFonts w:hint="eastAsia" w:ascii="仿宋" w:hAnsi="仿宋" w:eastAsia="仿宋" w:cs="宋体"/>
                <w:color w:val="000000"/>
                <w:kern w:val="0"/>
                <w:sz w:val="20"/>
                <w:szCs w:val="20"/>
              </w:rPr>
              <w:t>（一）重大报告。签订资产委托管理协议和托管协议，签订和调整投资指引，应当在5个工作日内报告；</w:t>
            </w:r>
          </w:p>
        </w:tc>
        <w:tc>
          <w:tcPr>
            <w:tcW w:w="1777" w:type="dxa"/>
            <w:tcBorders>
              <w:top w:val="nil"/>
              <w:left w:val="nil"/>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　</w:t>
            </w:r>
          </w:p>
        </w:tc>
      </w:tr>
      <w:tr>
        <w:tblPrEx>
          <w:tblCellMar>
            <w:top w:w="0" w:type="dxa"/>
            <w:left w:w="108" w:type="dxa"/>
            <w:bottom w:w="0" w:type="dxa"/>
            <w:right w:w="108" w:type="dxa"/>
          </w:tblCellMar>
        </w:tblPrEx>
        <w:trPr>
          <w:trHeight w:val="1106" w:hRule="atLeast"/>
        </w:trPr>
        <w:tc>
          <w:tcPr>
            <w:tcW w:w="724"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23</w:t>
            </w:r>
          </w:p>
        </w:tc>
        <w:tc>
          <w:tcPr>
            <w:tcW w:w="1276" w:type="dxa"/>
            <w:tcBorders>
              <w:top w:val="single" w:color="auto" w:sz="4" w:space="0"/>
              <w:left w:val="nil"/>
              <w:bottom w:val="single" w:color="auto" w:sz="4" w:space="0"/>
              <w:right w:val="single" w:color="auto" w:sz="4" w:space="0"/>
            </w:tcBorders>
            <w:vAlign w:val="center"/>
          </w:tcPr>
          <w:p>
            <w:pPr>
              <w:jc w:val="center"/>
              <w:rPr>
                <w:rFonts w:hint="eastAsia" w:ascii="仿宋" w:hAnsi="仿宋" w:eastAsia="仿宋"/>
                <w:sz w:val="20"/>
                <w:szCs w:val="20"/>
              </w:rPr>
            </w:pPr>
            <w:r>
              <w:rPr>
                <w:rFonts w:hint="eastAsia" w:ascii="仿宋" w:hAnsi="仿宋" w:eastAsia="仿宋"/>
                <w:sz w:val="20"/>
                <w:szCs w:val="20"/>
              </w:rPr>
              <w:t>变更风险责任人报告</w:t>
            </w:r>
          </w:p>
        </w:tc>
        <w:tc>
          <w:tcPr>
            <w:tcW w:w="2977" w:type="dxa"/>
            <w:tcBorders>
              <w:top w:val="single" w:color="auto" w:sz="4" w:space="0"/>
              <w:left w:val="nil"/>
              <w:bottom w:val="single" w:color="auto" w:sz="4" w:space="0"/>
              <w:right w:val="single" w:color="auto" w:sz="4" w:space="0"/>
            </w:tcBorders>
            <w:vAlign w:val="center"/>
          </w:tcPr>
          <w:p>
            <w:pPr>
              <w:rPr>
                <w:rFonts w:hint="eastAsia" w:ascii="仿宋" w:hAnsi="仿宋" w:eastAsia="仿宋"/>
                <w:sz w:val="20"/>
                <w:szCs w:val="20"/>
              </w:rPr>
            </w:pPr>
            <w:r>
              <w:rPr>
                <w:rFonts w:hint="eastAsia" w:ascii="仿宋" w:hAnsi="仿宋" w:eastAsia="仿宋"/>
                <w:sz w:val="20"/>
                <w:szCs w:val="20"/>
              </w:rPr>
              <w:t>《中国保监会关于保险机构投资风险责任人有关事项的通知》（保监发〔2013〕28号）</w:t>
            </w:r>
          </w:p>
        </w:tc>
        <w:tc>
          <w:tcPr>
            <w:tcW w:w="7966" w:type="dxa"/>
            <w:tcBorders>
              <w:top w:val="single" w:color="auto" w:sz="4" w:space="0"/>
              <w:left w:val="nil"/>
              <w:bottom w:val="single" w:color="auto" w:sz="4" w:space="0"/>
              <w:right w:val="single" w:color="auto" w:sz="4" w:space="0"/>
            </w:tcBorders>
            <w:vAlign w:val="center"/>
          </w:tcPr>
          <w:p>
            <w:pPr>
              <w:rPr>
                <w:rFonts w:hint="eastAsia" w:ascii="仿宋" w:hAnsi="仿宋" w:eastAsia="仿宋"/>
                <w:sz w:val="20"/>
                <w:szCs w:val="20"/>
              </w:rPr>
            </w:pPr>
            <w:r>
              <w:rPr>
                <w:rFonts w:hint="eastAsia" w:ascii="仿宋" w:hAnsi="仿宋" w:eastAsia="仿宋"/>
                <w:sz w:val="20"/>
                <w:szCs w:val="20"/>
              </w:rPr>
              <w:t>十、保险机构变更风险责任人，或对风险责任人的纪律处分、撤职或解除劳动关系的决定，应当于作出决定10个工作日内更换风险责任人，向中国保监会报告并说明理由。</w:t>
            </w:r>
          </w:p>
        </w:tc>
        <w:tc>
          <w:tcPr>
            <w:tcW w:w="1777" w:type="dxa"/>
            <w:vMerge w:val="restart"/>
            <w:tcBorders>
              <w:top w:val="single" w:color="auto" w:sz="4" w:space="0"/>
              <w:left w:val="nil"/>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按照</w:t>
            </w:r>
            <w:r>
              <w:rPr>
                <w:rFonts w:hint="eastAsia" w:ascii="仿宋" w:hAnsi="仿宋" w:eastAsia="仿宋"/>
                <w:sz w:val="20"/>
                <w:szCs w:val="20"/>
              </w:rPr>
              <w:t>《中国保监会关于印发&lt;保险公司资金运用信息披露准则第 2 号：风险责任人&gt;的通知》（保监发〔2015〕42号）要求进行信息披露。</w:t>
            </w:r>
          </w:p>
        </w:tc>
      </w:tr>
      <w:tr>
        <w:tblPrEx>
          <w:tblCellMar>
            <w:top w:w="0" w:type="dxa"/>
            <w:left w:w="108" w:type="dxa"/>
            <w:bottom w:w="0" w:type="dxa"/>
            <w:right w:w="108" w:type="dxa"/>
          </w:tblCellMar>
        </w:tblPrEx>
        <w:trPr>
          <w:trHeight w:val="1206" w:hRule="atLeast"/>
        </w:trPr>
        <w:tc>
          <w:tcPr>
            <w:tcW w:w="724"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24</w:t>
            </w:r>
          </w:p>
        </w:tc>
        <w:tc>
          <w:tcPr>
            <w:tcW w:w="1276" w:type="dxa"/>
            <w:tcBorders>
              <w:top w:val="single" w:color="auto" w:sz="4" w:space="0"/>
              <w:left w:val="nil"/>
              <w:bottom w:val="single" w:color="auto" w:sz="4" w:space="0"/>
              <w:right w:val="single" w:color="auto" w:sz="4" w:space="0"/>
            </w:tcBorders>
            <w:vAlign w:val="center"/>
          </w:tcPr>
          <w:p>
            <w:pPr>
              <w:widowControl/>
              <w:jc w:val="center"/>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境外投资风险责任人报告</w:t>
            </w:r>
          </w:p>
        </w:tc>
        <w:tc>
          <w:tcPr>
            <w:tcW w:w="2977" w:type="dxa"/>
            <w:tcBorders>
              <w:top w:val="single" w:color="auto" w:sz="4" w:space="0"/>
              <w:left w:val="nil"/>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《中国保监会关于调整保险资金境外投资有关政策的通知》（保监发〔2015〕33号）</w:t>
            </w:r>
          </w:p>
        </w:tc>
        <w:tc>
          <w:tcPr>
            <w:tcW w:w="7966" w:type="dxa"/>
            <w:tcBorders>
              <w:top w:val="single" w:color="auto" w:sz="4" w:space="0"/>
              <w:left w:val="nil"/>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一、对保险集团（控股）公司、保险公司开展境外投资的要求……风险责任人……信息报告……参照《关于保险机构投资风险责任人有关事项的通知》</w:t>
            </w:r>
            <w:r>
              <w:rPr>
                <w:rFonts w:hint="eastAsia" w:ascii="仿宋" w:hAnsi="仿宋" w:eastAsia="仿宋"/>
                <w:sz w:val="20"/>
                <w:szCs w:val="20"/>
              </w:rPr>
              <w:t>（保监发〔2013〕28号）及相关规定执行。</w:t>
            </w:r>
          </w:p>
        </w:tc>
        <w:tc>
          <w:tcPr>
            <w:tcW w:w="1777" w:type="dxa"/>
            <w:vMerge w:val="continue"/>
            <w:tcBorders>
              <w:left w:val="nil"/>
              <w:right w:val="single" w:color="auto" w:sz="4" w:space="0"/>
            </w:tcBorders>
            <w:vAlign w:val="center"/>
          </w:tcPr>
          <w:p>
            <w:pPr>
              <w:widowControl/>
              <w:rPr>
                <w:rFonts w:hint="eastAsia" w:ascii="仿宋" w:hAnsi="仿宋" w:eastAsia="仿宋" w:cs="宋体"/>
                <w:color w:val="000000"/>
                <w:kern w:val="0"/>
                <w:sz w:val="20"/>
                <w:szCs w:val="20"/>
              </w:rPr>
            </w:pPr>
          </w:p>
        </w:tc>
      </w:tr>
      <w:tr>
        <w:tblPrEx>
          <w:tblCellMar>
            <w:top w:w="0" w:type="dxa"/>
            <w:left w:w="108" w:type="dxa"/>
            <w:bottom w:w="0" w:type="dxa"/>
            <w:right w:w="108" w:type="dxa"/>
          </w:tblCellMar>
        </w:tblPrEx>
        <w:trPr>
          <w:trHeight w:val="1528" w:hRule="atLeast"/>
        </w:trPr>
        <w:tc>
          <w:tcPr>
            <w:tcW w:w="724"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25</w:t>
            </w:r>
          </w:p>
        </w:tc>
        <w:tc>
          <w:tcPr>
            <w:tcW w:w="1276" w:type="dxa"/>
            <w:tcBorders>
              <w:top w:val="single" w:color="auto" w:sz="4" w:space="0"/>
              <w:left w:val="nil"/>
              <w:bottom w:val="single" w:color="auto" w:sz="4" w:space="0"/>
              <w:right w:val="single" w:color="auto" w:sz="4" w:space="0"/>
            </w:tcBorders>
            <w:vAlign w:val="center"/>
          </w:tcPr>
          <w:p>
            <w:pPr>
              <w:jc w:val="center"/>
              <w:rPr>
                <w:rFonts w:hint="eastAsia" w:ascii="仿宋" w:hAnsi="仿宋" w:eastAsia="仿宋"/>
                <w:sz w:val="20"/>
                <w:szCs w:val="20"/>
              </w:rPr>
            </w:pPr>
            <w:r>
              <w:rPr>
                <w:rFonts w:hint="eastAsia" w:ascii="仿宋" w:hAnsi="仿宋" w:eastAsia="仿宋"/>
                <w:sz w:val="20"/>
                <w:szCs w:val="20"/>
              </w:rPr>
              <w:t>确定风险责任人报告</w:t>
            </w:r>
          </w:p>
        </w:tc>
        <w:tc>
          <w:tcPr>
            <w:tcW w:w="2977" w:type="dxa"/>
            <w:tcBorders>
              <w:top w:val="single" w:color="auto" w:sz="4" w:space="0"/>
              <w:left w:val="nil"/>
              <w:bottom w:val="single" w:color="auto" w:sz="4" w:space="0"/>
              <w:right w:val="single" w:color="auto" w:sz="4" w:space="0"/>
            </w:tcBorders>
            <w:vAlign w:val="center"/>
          </w:tcPr>
          <w:p>
            <w:pPr>
              <w:rPr>
                <w:rFonts w:hint="eastAsia" w:ascii="仿宋" w:hAnsi="仿宋" w:eastAsia="仿宋"/>
                <w:sz w:val="20"/>
                <w:szCs w:val="20"/>
              </w:rPr>
            </w:pPr>
            <w:r>
              <w:rPr>
                <w:rFonts w:hint="eastAsia" w:ascii="仿宋" w:hAnsi="仿宋" w:eastAsia="仿宋"/>
                <w:sz w:val="20"/>
                <w:szCs w:val="20"/>
              </w:rPr>
              <w:t>《中国保监会关于印发&lt;保险公司资金运用信息披露准则第 2 号：风险责任人&gt;的通知》（保监发〔2015〕42号）</w:t>
            </w:r>
          </w:p>
        </w:tc>
        <w:tc>
          <w:tcPr>
            <w:tcW w:w="7966" w:type="dxa"/>
            <w:tcBorders>
              <w:top w:val="single" w:color="auto" w:sz="4" w:space="0"/>
              <w:left w:val="nil"/>
              <w:bottom w:val="single" w:color="auto" w:sz="4" w:space="0"/>
              <w:right w:val="single" w:color="auto" w:sz="4" w:space="0"/>
            </w:tcBorders>
            <w:vAlign w:val="center"/>
          </w:tcPr>
          <w:p>
            <w:pPr>
              <w:rPr>
                <w:rFonts w:hint="eastAsia" w:ascii="仿宋" w:hAnsi="仿宋" w:eastAsia="仿宋"/>
                <w:sz w:val="20"/>
                <w:szCs w:val="20"/>
              </w:rPr>
            </w:pPr>
            <w:r>
              <w:rPr>
                <w:rFonts w:hint="eastAsia" w:ascii="仿宋" w:hAnsi="仿宋" w:eastAsia="仿宋"/>
                <w:sz w:val="20"/>
                <w:szCs w:val="20"/>
              </w:rPr>
              <w:t>第五条 保险公司开展资金运用活动需要确定风险责任人的，应当在提交相关书面报告的同时……</w:t>
            </w:r>
          </w:p>
        </w:tc>
        <w:tc>
          <w:tcPr>
            <w:tcW w:w="1777" w:type="dxa"/>
            <w:vMerge w:val="continue"/>
            <w:tcBorders>
              <w:left w:val="nil"/>
              <w:right w:val="single" w:color="auto" w:sz="4" w:space="0"/>
            </w:tcBorders>
            <w:vAlign w:val="center"/>
          </w:tcPr>
          <w:p>
            <w:pPr>
              <w:widowControl/>
              <w:rPr>
                <w:rFonts w:hint="eastAsia" w:ascii="仿宋" w:hAnsi="仿宋" w:eastAsia="仿宋" w:cs="宋体"/>
                <w:color w:val="000000"/>
                <w:kern w:val="0"/>
                <w:sz w:val="20"/>
                <w:szCs w:val="20"/>
              </w:rPr>
            </w:pPr>
          </w:p>
        </w:tc>
      </w:tr>
      <w:tr>
        <w:tblPrEx>
          <w:tblCellMar>
            <w:top w:w="0" w:type="dxa"/>
            <w:left w:w="108" w:type="dxa"/>
            <w:bottom w:w="0" w:type="dxa"/>
            <w:right w:w="108" w:type="dxa"/>
          </w:tblCellMar>
        </w:tblPrEx>
        <w:trPr>
          <w:trHeight w:val="1478" w:hRule="atLeast"/>
        </w:trPr>
        <w:tc>
          <w:tcPr>
            <w:tcW w:w="724"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26</w:t>
            </w:r>
          </w:p>
        </w:tc>
        <w:tc>
          <w:tcPr>
            <w:tcW w:w="1276" w:type="dxa"/>
            <w:tcBorders>
              <w:top w:val="single" w:color="auto" w:sz="4" w:space="0"/>
              <w:left w:val="nil"/>
              <w:bottom w:val="single" w:color="auto" w:sz="4" w:space="0"/>
              <w:right w:val="single" w:color="auto" w:sz="4" w:space="0"/>
            </w:tcBorders>
            <w:vAlign w:val="center"/>
          </w:tcPr>
          <w:p>
            <w:pPr>
              <w:jc w:val="center"/>
              <w:rPr>
                <w:rFonts w:hint="eastAsia" w:ascii="仿宋" w:hAnsi="仿宋" w:eastAsia="仿宋"/>
                <w:sz w:val="20"/>
                <w:szCs w:val="20"/>
              </w:rPr>
            </w:pPr>
            <w:r>
              <w:rPr>
                <w:rFonts w:hint="eastAsia" w:ascii="仿宋" w:hAnsi="仿宋" w:eastAsia="仿宋"/>
                <w:sz w:val="20"/>
                <w:szCs w:val="20"/>
              </w:rPr>
              <w:t>信托投资专业责任人报告</w:t>
            </w:r>
          </w:p>
        </w:tc>
        <w:tc>
          <w:tcPr>
            <w:tcW w:w="2977" w:type="dxa"/>
            <w:tcBorders>
              <w:top w:val="single" w:color="auto" w:sz="4" w:space="0"/>
              <w:left w:val="nil"/>
              <w:bottom w:val="single" w:color="auto" w:sz="4" w:space="0"/>
              <w:right w:val="single" w:color="auto" w:sz="4" w:space="0"/>
            </w:tcBorders>
            <w:vAlign w:val="center"/>
          </w:tcPr>
          <w:p>
            <w:pPr>
              <w:rPr>
                <w:rFonts w:hint="eastAsia" w:ascii="仿宋" w:hAnsi="仿宋" w:eastAsia="仿宋"/>
                <w:sz w:val="20"/>
                <w:szCs w:val="20"/>
              </w:rPr>
            </w:pPr>
            <w:r>
              <w:rPr>
                <w:rFonts w:hint="eastAsia" w:ascii="仿宋" w:hAnsi="仿宋" w:eastAsia="仿宋"/>
                <w:sz w:val="20"/>
                <w:szCs w:val="20"/>
              </w:rPr>
              <w:t>《中国银保监会办公厅关于保险资金投资集合资金信托有关事项的通知》（银保监办发〔2019〕144号</w:t>
            </w:r>
          </w:p>
        </w:tc>
        <w:tc>
          <w:tcPr>
            <w:tcW w:w="7966" w:type="dxa"/>
            <w:tcBorders>
              <w:top w:val="single" w:color="auto" w:sz="4" w:space="0"/>
              <w:left w:val="nil"/>
              <w:bottom w:val="single" w:color="auto" w:sz="4" w:space="0"/>
              <w:right w:val="single" w:color="auto" w:sz="4" w:space="0"/>
            </w:tcBorders>
            <w:vAlign w:val="center"/>
          </w:tcPr>
          <w:p>
            <w:pPr>
              <w:rPr>
                <w:rFonts w:hint="eastAsia" w:ascii="仿宋" w:hAnsi="仿宋" w:eastAsia="仿宋"/>
                <w:sz w:val="20"/>
                <w:szCs w:val="20"/>
              </w:rPr>
            </w:pPr>
            <w:r>
              <w:rPr>
                <w:rFonts w:hint="eastAsia" w:ascii="仿宋" w:hAnsi="仿宋" w:eastAsia="仿宋"/>
                <w:sz w:val="20"/>
                <w:szCs w:val="20"/>
              </w:rPr>
              <w:t>二、保险机构投资集合资金信托，应当配备独立的信托投资专业责任人，完善可追溯的责任追究机制，并向中国银行保险监督管理委员会（以下简称银保监会）报告。信托投资专业责任人比照保险机构投资管理能力专业责任人……执行保险机构投资风险责任人的相关规定。</w:t>
            </w:r>
          </w:p>
        </w:tc>
        <w:tc>
          <w:tcPr>
            <w:tcW w:w="1777" w:type="dxa"/>
            <w:vMerge w:val="continue"/>
            <w:tcBorders>
              <w:left w:val="nil"/>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p>
        </w:tc>
      </w:tr>
      <w:tr>
        <w:tblPrEx>
          <w:tblCellMar>
            <w:top w:w="0" w:type="dxa"/>
            <w:left w:w="108" w:type="dxa"/>
            <w:bottom w:w="0" w:type="dxa"/>
            <w:right w:w="108" w:type="dxa"/>
          </w:tblCellMar>
        </w:tblPrEx>
        <w:trPr>
          <w:trHeight w:val="2164" w:hRule="atLeast"/>
        </w:trPr>
        <w:tc>
          <w:tcPr>
            <w:tcW w:w="724"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27</w:t>
            </w:r>
          </w:p>
        </w:tc>
        <w:tc>
          <w:tcPr>
            <w:tcW w:w="127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超监测比例报告</w:t>
            </w:r>
          </w:p>
        </w:tc>
        <w:tc>
          <w:tcPr>
            <w:tcW w:w="2977" w:type="dxa"/>
            <w:tcBorders>
              <w:top w:val="single" w:color="auto" w:sz="4" w:space="0"/>
              <w:left w:val="single" w:color="auto" w:sz="4" w:space="0"/>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《中国保监会关于加强和改进保险资金运用比例监管的通知》（保监发〔2014〕13号）</w:t>
            </w:r>
          </w:p>
        </w:tc>
        <w:tc>
          <w:tcPr>
            <w:tcW w:w="7966" w:type="dxa"/>
            <w:tcBorders>
              <w:top w:val="single" w:color="auto" w:sz="4" w:space="0"/>
              <w:left w:val="single" w:color="auto" w:sz="4" w:space="0"/>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六、监督管理</w:t>
            </w:r>
          </w:p>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（二）关于监测比例</w:t>
            </w:r>
            <w:r>
              <w:rPr>
                <w:rFonts w:hint="eastAsia" w:ascii="仿宋" w:hAnsi="仿宋" w:eastAsia="仿宋" w:cs="宋体"/>
                <w:color w:val="000000"/>
                <w:kern w:val="0"/>
                <w:sz w:val="20"/>
                <w:szCs w:val="20"/>
              </w:rPr>
              <w:br w:type="textWrapping"/>
            </w:r>
            <w:r>
              <w:rPr>
                <w:rFonts w:hint="eastAsia" w:ascii="仿宋" w:hAnsi="仿宋" w:eastAsia="仿宋" w:cs="宋体"/>
                <w:color w:val="000000"/>
                <w:kern w:val="0"/>
                <w:sz w:val="20"/>
                <w:szCs w:val="20"/>
              </w:rPr>
              <w:t>对于超出或不符合监测比例有关规定的，保险公司应当于该事项发生后5个工作日内向中国保监会报告。</w:t>
            </w:r>
          </w:p>
        </w:tc>
        <w:tc>
          <w:tcPr>
            <w:tcW w:w="1777" w:type="dxa"/>
            <w:tcBorders>
              <w:top w:val="single" w:color="auto" w:sz="4" w:space="0"/>
              <w:left w:val="single" w:color="auto" w:sz="4" w:space="0"/>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按照《中国保监会关于印发&lt;保险资产负债管理监管规则（1—5）号&gt;及开展试运行有关事项的通知》（保监发〔2018〕27号）要求通过信息系统报送。</w:t>
            </w:r>
          </w:p>
        </w:tc>
      </w:tr>
      <w:tr>
        <w:trPr>
          <w:trHeight w:val="2064" w:hRule="atLeast"/>
        </w:trPr>
        <w:tc>
          <w:tcPr>
            <w:tcW w:w="724"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28</w:t>
            </w:r>
          </w:p>
        </w:tc>
        <w:tc>
          <w:tcPr>
            <w:tcW w:w="127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内部风控比例报告</w:t>
            </w:r>
          </w:p>
        </w:tc>
        <w:tc>
          <w:tcPr>
            <w:tcW w:w="2977" w:type="dxa"/>
            <w:tcBorders>
              <w:top w:val="single" w:color="auto" w:sz="4" w:space="0"/>
              <w:left w:val="single" w:color="auto" w:sz="4" w:space="0"/>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《中国保监会关于加强和改进保险资金运用比例监管的通知》（保监发〔2014〕13号）</w:t>
            </w:r>
          </w:p>
        </w:tc>
        <w:tc>
          <w:tcPr>
            <w:tcW w:w="7966" w:type="dxa"/>
            <w:tcBorders>
              <w:top w:val="single" w:color="auto" w:sz="4" w:space="0"/>
              <w:left w:val="single" w:color="auto" w:sz="4" w:space="0"/>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六、监督管理</w:t>
            </w:r>
          </w:p>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（三）关于内控比例</w:t>
            </w:r>
            <w:r>
              <w:rPr>
                <w:rFonts w:hint="eastAsia" w:ascii="仿宋" w:hAnsi="仿宋" w:eastAsia="仿宋" w:cs="宋体"/>
                <w:color w:val="000000"/>
                <w:kern w:val="0"/>
                <w:sz w:val="20"/>
                <w:szCs w:val="20"/>
              </w:rPr>
              <w:br w:type="textWrapping"/>
            </w:r>
            <w:r>
              <w:rPr>
                <w:rFonts w:hint="eastAsia" w:ascii="仿宋" w:hAnsi="仿宋" w:eastAsia="仿宋" w:cs="宋体"/>
                <w:color w:val="000000"/>
                <w:kern w:val="0"/>
                <w:sz w:val="20"/>
                <w:szCs w:val="20"/>
              </w:rPr>
              <w:t>保险公司制定投资内部风险控制比例，经董事会或董事会授权机构审定后5个工作日内向中国保监会报告，并于每年3月31日前，在上年度资产配置执行情况报告中，向中国保监会报告比例实际执行情况。</w:t>
            </w:r>
          </w:p>
        </w:tc>
        <w:tc>
          <w:tcPr>
            <w:tcW w:w="1777" w:type="dxa"/>
            <w:tcBorders>
              <w:top w:val="single" w:color="auto" w:sz="4" w:space="0"/>
              <w:left w:val="single" w:color="auto" w:sz="4" w:space="0"/>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按照《中国保监会关于印发&lt;保险资产负债管理监管规则（1—5）号&gt;及开展试运行有关事项的通知》（保监发〔2018〕27号）要求通过信息系统报送。</w:t>
            </w:r>
          </w:p>
        </w:tc>
      </w:tr>
      <w:tr>
        <w:tblPrEx>
          <w:tblCellMar>
            <w:top w:w="0" w:type="dxa"/>
            <w:left w:w="108" w:type="dxa"/>
            <w:bottom w:w="0" w:type="dxa"/>
            <w:right w:w="108" w:type="dxa"/>
          </w:tblCellMar>
        </w:tblPrEx>
        <w:trPr>
          <w:trHeight w:val="2022" w:hRule="atLeast"/>
        </w:trPr>
        <w:tc>
          <w:tcPr>
            <w:tcW w:w="724"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29</w:t>
            </w:r>
          </w:p>
        </w:tc>
        <w:tc>
          <w:tcPr>
            <w:tcW w:w="1276" w:type="dxa"/>
            <w:tcBorders>
              <w:top w:val="single" w:color="auto" w:sz="4" w:space="0"/>
              <w:left w:val="nil"/>
              <w:bottom w:val="single" w:color="auto" w:sz="4" w:space="0"/>
              <w:right w:val="single" w:color="auto" w:sz="4" w:space="0"/>
            </w:tcBorders>
            <w:vAlign w:val="center"/>
          </w:tcPr>
          <w:p>
            <w:pPr>
              <w:widowControl/>
              <w:jc w:val="center"/>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五级分类制度报告</w:t>
            </w:r>
          </w:p>
        </w:tc>
        <w:tc>
          <w:tcPr>
            <w:tcW w:w="2977" w:type="dxa"/>
            <w:tcBorders>
              <w:top w:val="single" w:color="auto" w:sz="4" w:space="0"/>
              <w:left w:val="nil"/>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《中国保监会关于试行&lt;保险资产风险五级分类指引&gt;的通知》（保监发〔2014〕82号）</w:t>
            </w:r>
          </w:p>
        </w:tc>
        <w:tc>
          <w:tcPr>
            <w:tcW w:w="7966" w:type="dxa"/>
            <w:tcBorders>
              <w:top w:val="single" w:color="auto" w:sz="4" w:space="0"/>
              <w:left w:val="nil"/>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第二十六条 保险机构应将资产风险分类制度和工作机制报送中国保监会备案……</w:t>
            </w:r>
          </w:p>
        </w:tc>
        <w:tc>
          <w:tcPr>
            <w:tcW w:w="1777" w:type="dxa"/>
            <w:tcBorders>
              <w:top w:val="single" w:color="auto" w:sz="4" w:space="0"/>
              <w:left w:val="nil"/>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按照《中国保监会关于印发&lt;保险资产负债管理监管规则（1—5）号&gt;及开展试运行有关事项的通知》（保监发〔2018〕27号）要求通过信息系统报送。</w:t>
            </w:r>
          </w:p>
        </w:tc>
      </w:tr>
      <w:tr>
        <w:tblPrEx>
          <w:tblCellMar>
            <w:top w:w="0" w:type="dxa"/>
            <w:left w:w="108" w:type="dxa"/>
            <w:bottom w:w="0" w:type="dxa"/>
            <w:right w:w="108" w:type="dxa"/>
          </w:tblCellMar>
        </w:tblPrEx>
        <w:trPr>
          <w:trHeight w:val="2134" w:hRule="atLeast"/>
        </w:trPr>
        <w:tc>
          <w:tcPr>
            <w:tcW w:w="724"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30</w:t>
            </w:r>
          </w:p>
        </w:tc>
        <w:tc>
          <w:tcPr>
            <w:tcW w:w="127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五级分类半年报</w:t>
            </w:r>
          </w:p>
        </w:tc>
        <w:tc>
          <w:tcPr>
            <w:tcW w:w="2977" w:type="dxa"/>
            <w:tcBorders>
              <w:top w:val="single" w:color="auto" w:sz="4" w:space="0"/>
              <w:left w:val="single" w:color="auto" w:sz="4" w:space="0"/>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《中国保监会关于试行&lt;保险资产风险五级分类指引&gt;的通知》（保监发〔2014〕82号）</w:t>
            </w:r>
          </w:p>
        </w:tc>
        <w:tc>
          <w:tcPr>
            <w:tcW w:w="7966" w:type="dxa"/>
            <w:tcBorders>
              <w:top w:val="single" w:color="auto" w:sz="4" w:space="0"/>
              <w:left w:val="single" w:color="auto" w:sz="4" w:space="0"/>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第二十六条 保险机构应……每半年报送一次本公司资产分类情况。中国保监会将建立专门信息平台，鼓励保险机构进行风险信息共享。</w:t>
            </w:r>
          </w:p>
        </w:tc>
        <w:tc>
          <w:tcPr>
            <w:tcW w:w="1777" w:type="dxa"/>
            <w:tcBorders>
              <w:top w:val="single" w:color="auto" w:sz="4" w:space="0"/>
              <w:left w:val="single" w:color="auto" w:sz="4" w:space="0"/>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按照《中国保监会关于印发&lt;保险资产负债管理监管规则（1—5）号&gt;及开展试运行有关事项的通知》（保监发〔2018〕27号）要求通过信息系统报送。</w:t>
            </w:r>
          </w:p>
        </w:tc>
      </w:tr>
      <w:tr>
        <w:tblPrEx>
          <w:tblCellMar>
            <w:top w:w="0" w:type="dxa"/>
            <w:left w:w="108" w:type="dxa"/>
            <w:bottom w:w="0" w:type="dxa"/>
            <w:right w:w="108" w:type="dxa"/>
          </w:tblCellMar>
        </w:tblPrEx>
        <w:trPr>
          <w:trHeight w:val="1650" w:hRule="atLeast"/>
        </w:trPr>
        <w:tc>
          <w:tcPr>
            <w:tcW w:w="724"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31</w:t>
            </w:r>
          </w:p>
        </w:tc>
        <w:tc>
          <w:tcPr>
            <w:tcW w:w="1276" w:type="dxa"/>
            <w:tcBorders>
              <w:top w:val="single" w:color="auto" w:sz="4" w:space="0"/>
              <w:left w:val="nil"/>
              <w:bottom w:val="single" w:color="auto" w:sz="4" w:space="0"/>
              <w:right w:val="single" w:color="auto" w:sz="4" w:space="0"/>
            </w:tcBorders>
            <w:vAlign w:val="center"/>
          </w:tcPr>
          <w:p>
            <w:pPr>
              <w:widowControl/>
              <w:jc w:val="center"/>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创业投资基金投资报告</w:t>
            </w:r>
          </w:p>
        </w:tc>
        <w:tc>
          <w:tcPr>
            <w:tcW w:w="2977" w:type="dxa"/>
            <w:tcBorders>
              <w:top w:val="single" w:color="auto" w:sz="4" w:space="0"/>
              <w:left w:val="nil"/>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《中国保监会关于保险资金投资创业投资基金有关事项的通知》（保监发〔2014〕101号）</w:t>
            </w:r>
          </w:p>
        </w:tc>
        <w:tc>
          <w:tcPr>
            <w:tcW w:w="7966" w:type="dxa"/>
            <w:tcBorders>
              <w:top w:val="single" w:color="auto" w:sz="4" w:space="0"/>
              <w:left w:val="nil"/>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八、保险公司、基金管理机构、托管机构应当按照《保险资金投资股权暂行办法》及相关规定，向中国保监会报告保险资金投资创业投资基金的资金运作情况。</w:t>
            </w:r>
          </w:p>
        </w:tc>
        <w:tc>
          <w:tcPr>
            <w:tcW w:w="1777" w:type="dxa"/>
            <w:tcBorders>
              <w:top w:val="single" w:color="auto" w:sz="4" w:space="0"/>
              <w:left w:val="nil"/>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按照《关于印发&lt;保险资金股权投资信息报告监管口径&gt;的通知》（资金部函〔2018〕35号）要求通过信息系统报送。</w:t>
            </w:r>
          </w:p>
        </w:tc>
      </w:tr>
      <w:tr>
        <w:tblPrEx>
          <w:tblCellMar>
            <w:top w:w="0" w:type="dxa"/>
            <w:left w:w="108" w:type="dxa"/>
            <w:bottom w:w="0" w:type="dxa"/>
            <w:right w:w="108" w:type="dxa"/>
          </w:tblCellMar>
        </w:tblPrEx>
        <w:trPr>
          <w:trHeight w:val="1388" w:hRule="atLeast"/>
        </w:trPr>
        <w:tc>
          <w:tcPr>
            <w:tcW w:w="724"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32</w:t>
            </w:r>
          </w:p>
        </w:tc>
        <w:tc>
          <w:tcPr>
            <w:tcW w:w="1276" w:type="dxa"/>
            <w:tcBorders>
              <w:top w:val="single" w:color="auto" w:sz="4" w:space="0"/>
              <w:left w:val="nil"/>
              <w:bottom w:val="single" w:color="auto" w:sz="4" w:space="0"/>
              <w:right w:val="single" w:color="auto" w:sz="4" w:space="0"/>
            </w:tcBorders>
            <w:vAlign w:val="center"/>
          </w:tcPr>
          <w:p>
            <w:pPr>
              <w:jc w:val="center"/>
              <w:rPr>
                <w:rFonts w:hint="eastAsia" w:ascii="仿宋" w:hAnsi="仿宋" w:eastAsia="仿宋"/>
                <w:sz w:val="20"/>
                <w:szCs w:val="20"/>
              </w:rPr>
            </w:pPr>
            <w:r>
              <w:rPr>
                <w:rFonts w:hint="eastAsia" w:ascii="仿宋" w:hAnsi="仿宋" w:eastAsia="仿宋"/>
                <w:sz w:val="20"/>
                <w:szCs w:val="20"/>
              </w:rPr>
              <w:t>资金运用内控专项审计报告</w:t>
            </w:r>
          </w:p>
        </w:tc>
        <w:tc>
          <w:tcPr>
            <w:tcW w:w="2977" w:type="dxa"/>
            <w:tcBorders>
              <w:top w:val="single" w:color="auto" w:sz="4" w:space="0"/>
              <w:left w:val="nil"/>
              <w:bottom w:val="single" w:color="auto" w:sz="4" w:space="0"/>
              <w:right w:val="single" w:color="auto" w:sz="4" w:space="0"/>
            </w:tcBorders>
            <w:vAlign w:val="center"/>
          </w:tcPr>
          <w:p>
            <w:pPr>
              <w:rPr>
                <w:rFonts w:hint="eastAsia" w:ascii="仿宋" w:hAnsi="仿宋" w:eastAsia="仿宋"/>
                <w:sz w:val="20"/>
                <w:szCs w:val="20"/>
              </w:rPr>
            </w:pPr>
            <w:r>
              <w:rPr>
                <w:rFonts w:hint="eastAsia" w:ascii="仿宋" w:hAnsi="仿宋" w:eastAsia="仿宋"/>
                <w:sz w:val="20"/>
                <w:szCs w:val="20"/>
              </w:rPr>
              <w:t>《中国保监会关于印发&lt;保险资金运用内部控制指引&gt;及应用指引的通知》（保监发〔2015〕114号）</w:t>
            </w:r>
          </w:p>
        </w:tc>
        <w:tc>
          <w:tcPr>
            <w:tcW w:w="7966" w:type="dxa"/>
            <w:tcBorders>
              <w:top w:val="single" w:color="auto" w:sz="4" w:space="0"/>
              <w:left w:val="nil"/>
              <w:bottom w:val="single" w:color="auto" w:sz="4" w:space="0"/>
              <w:right w:val="single" w:color="auto" w:sz="4" w:space="0"/>
            </w:tcBorders>
            <w:vAlign w:val="center"/>
          </w:tcPr>
          <w:p>
            <w:pPr>
              <w:rPr>
                <w:rFonts w:hint="eastAsia" w:ascii="仿宋" w:hAnsi="仿宋" w:eastAsia="仿宋"/>
                <w:sz w:val="20"/>
                <w:szCs w:val="20"/>
              </w:rPr>
            </w:pPr>
            <w:r>
              <w:rPr>
                <w:rFonts w:hint="eastAsia" w:ascii="仿宋" w:hAnsi="仿宋" w:eastAsia="仿宋"/>
                <w:sz w:val="20"/>
                <w:szCs w:val="20"/>
              </w:rPr>
              <w:t>二、保险机构聘请独立第三方审计机构开展年度外部审计工作时，应当对保险资金运用内部控制进行专项审计，并于每年4月30日前向中国保监会报送上一年度专项审计报告。</w:t>
            </w:r>
          </w:p>
        </w:tc>
        <w:tc>
          <w:tcPr>
            <w:tcW w:w="1777" w:type="dxa"/>
            <w:tcBorders>
              <w:top w:val="single" w:color="auto" w:sz="4" w:space="0"/>
              <w:left w:val="nil"/>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sz w:val="20"/>
                <w:szCs w:val="20"/>
              </w:rPr>
              <w:t>按照《保险资金运用管理办法》（保监会令〔2018〕1号）规定报送。</w:t>
            </w:r>
          </w:p>
        </w:tc>
      </w:tr>
      <w:tr>
        <w:tblPrEx>
          <w:tblCellMar>
            <w:top w:w="0" w:type="dxa"/>
            <w:left w:w="108" w:type="dxa"/>
            <w:bottom w:w="0" w:type="dxa"/>
            <w:right w:w="108" w:type="dxa"/>
          </w:tblCellMar>
        </w:tblPrEx>
        <w:trPr>
          <w:trHeight w:val="1790" w:hRule="atLeast"/>
        </w:trPr>
        <w:tc>
          <w:tcPr>
            <w:tcW w:w="724"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33</w:t>
            </w:r>
          </w:p>
        </w:tc>
        <w:tc>
          <w:tcPr>
            <w:tcW w:w="127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托管账户注销报告</w:t>
            </w:r>
          </w:p>
        </w:tc>
        <w:tc>
          <w:tcPr>
            <w:tcW w:w="2977" w:type="dxa"/>
            <w:tcBorders>
              <w:top w:val="single" w:color="auto" w:sz="4" w:space="0"/>
              <w:left w:val="single" w:color="auto" w:sz="4" w:space="0"/>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《中国保监会关于印发&lt;保险资金运用内部控制指引&gt;及应用指引的通知》（保监发〔2015〕114号）附件1：保险资金运用内部控制指引</w:t>
            </w:r>
          </w:p>
        </w:tc>
        <w:tc>
          <w:tcPr>
            <w:tcW w:w="7966" w:type="dxa"/>
            <w:tcBorders>
              <w:top w:val="single" w:color="auto" w:sz="4" w:space="0"/>
              <w:left w:val="single" w:color="auto" w:sz="4" w:space="0"/>
              <w:bottom w:val="single" w:color="auto" w:sz="4" w:space="0"/>
              <w:right w:val="single" w:color="auto" w:sz="4" w:space="0"/>
            </w:tcBorders>
            <w:vAlign w:val="center"/>
          </w:tcPr>
          <w:p>
            <w:pPr>
              <w:rPr>
                <w:rFonts w:hint="eastAsia" w:ascii="仿宋" w:hAnsi="仿宋" w:eastAsia="仿宋"/>
              </w:rPr>
            </w:pPr>
          </w:p>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第五十八条 保险机构应当在投资清算及收益分配完成后，及时在托管机构进行托管账户注销。账户销户应当......并报送监管部门。</w:t>
            </w:r>
          </w:p>
        </w:tc>
        <w:tc>
          <w:tcPr>
            <w:tcW w:w="1777" w:type="dxa"/>
            <w:tcBorders>
              <w:top w:val="single" w:color="auto" w:sz="4" w:space="0"/>
              <w:left w:val="single" w:color="auto" w:sz="4" w:space="0"/>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p>
        </w:tc>
      </w:tr>
      <w:tr>
        <w:tblPrEx>
          <w:tblCellMar>
            <w:top w:w="0" w:type="dxa"/>
            <w:left w:w="108" w:type="dxa"/>
            <w:bottom w:w="0" w:type="dxa"/>
            <w:right w:w="108" w:type="dxa"/>
          </w:tblCellMar>
        </w:tblPrEx>
        <w:trPr>
          <w:trHeight w:val="2012" w:hRule="atLeast"/>
        </w:trPr>
        <w:tc>
          <w:tcPr>
            <w:tcW w:w="724"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34</w:t>
            </w:r>
          </w:p>
        </w:tc>
        <w:tc>
          <w:tcPr>
            <w:tcW w:w="127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股票投资管理制度和人员情况报告</w:t>
            </w:r>
          </w:p>
        </w:tc>
        <w:tc>
          <w:tcPr>
            <w:tcW w:w="2977" w:type="dxa"/>
            <w:tcBorders>
              <w:top w:val="single" w:color="auto" w:sz="4" w:space="0"/>
              <w:left w:val="single" w:color="auto" w:sz="4" w:space="0"/>
              <w:bottom w:val="single" w:color="auto" w:sz="4" w:space="0"/>
              <w:right w:val="single" w:color="auto" w:sz="4" w:space="0"/>
            </w:tcBorders>
            <w:vAlign w:val="center"/>
          </w:tcPr>
          <w:p>
            <w:pPr>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《中国保监会关于印发&lt;保险资金运用内部控制指引&gt;及应用指引的通知》（保监发〔2015〕114号）附件4：保险资金运用内部控制应用指引第3号——股票及股票型基金</w:t>
            </w:r>
          </w:p>
        </w:tc>
        <w:tc>
          <w:tcPr>
            <w:tcW w:w="7966" w:type="dxa"/>
            <w:tcBorders>
              <w:top w:val="single" w:color="auto" w:sz="4" w:space="0"/>
              <w:left w:val="single" w:color="auto" w:sz="4" w:space="0"/>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第十七条 ……保险机构应当建立股票及基金投资管理人员进行股票投资的申报、登记、审查、处置等管理制度，并将上述制度和股票投资有关人员的信息和变动情况报告中国保监会。</w:t>
            </w:r>
          </w:p>
        </w:tc>
        <w:tc>
          <w:tcPr>
            <w:tcW w:w="1777" w:type="dxa"/>
            <w:tcBorders>
              <w:top w:val="single" w:color="auto" w:sz="4" w:space="0"/>
              <w:left w:val="single" w:color="auto" w:sz="4" w:space="0"/>
              <w:bottom w:val="single" w:color="auto" w:sz="4" w:space="0"/>
              <w:right w:val="single" w:color="auto" w:sz="4" w:space="0"/>
            </w:tcBorders>
            <w:vAlign w:val="center"/>
          </w:tcPr>
          <w:p>
            <w:pPr>
              <w:widowControl/>
              <w:rPr>
                <w:rFonts w:hint="eastAsia" w:ascii="仿宋" w:hAnsi="仿宋" w:eastAsia="仿宋" w:cs="宋体"/>
                <w:color w:val="000000"/>
                <w:kern w:val="0"/>
                <w:sz w:val="20"/>
                <w:szCs w:val="20"/>
              </w:rPr>
            </w:pPr>
          </w:p>
        </w:tc>
      </w:tr>
    </w:tbl>
    <w:p>
      <w:pPr>
        <w:rPr>
          <w:rFonts w:hint="eastAsia" w:ascii="仿宋" w:hAnsi="仿宋" w:eastAsia="仿宋"/>
        </w:rPr>
      </w:pPr>
    </w:p>
    <w:p>
      <w:pPr>
        <w:widowControl/>
        <w:jc w:val="left"/>
        <w:rPr>
          <w:rFonts w:hint="eastAsia" w:ascii="仿宋" w:hAnsi="仿宋" w:eastAsia="仿宋"/>
        </w:rPr>
      </w:pPr>
      <w:r>
        <w:rPr>
          <w:rFonts w:ascii="仿宋" w:hAnsi="仿宋" w:eastAsia="仿宋"/>
        </w:rPr>
        <w:br w:type="page"/>
      </w:r>
    </w:p>
    <w:p>
      <w:pPr>
        <w:rPr>
          <w:rFonts w:hint="eastAsia" w:ascii="仿宋" w:hAnsi="仿宋" w:eastAsia="仿宋"/>
          <w:sz w:val="32"/>
          <w:szCs w:val="32"/>
        </w:rPr>
      </w:pPr>
      <w:r>
        <w:rPr>
          <w:rFonts w:ascii="仿宋" w:hAnsi="仿宋" w:eastAsia="仿宋"/>
          <w:sz w:val="32"/>
          <w:szCs w:val="32"/>
        </w:rPr>
        <w:t>附件</w:t>
      </w:r>
      <w:r>
        <w:rPr>
          <w:rFonts w:hint="eastAsia" w:ascii="仿宋" w:hAnsi="仿宋" w:eastAsia="仿宋"/>
          <w:sz w:val="32"/>
          <w:szCs w:val="32"/>
        </w:rPr>
        <w:t>2</w:t>
      </w:r>
    </w:p>
    <w:p>
      <w:pPr>
        <w:rPr>
          <w:rFonts w:hint="eastAsia" w:ascii="仿宋" w:hAnsi="仿宋" w:eastAsia="仿宋"/>
        </w:rPr>
      </w:pPr>
    </w:p>
    <w:tbl>
      <w:tblPr>
        <w:tblStyle w:val="42"/>
        <w:tblW w:w="1417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80"/>
        <w:gridCol w:w="1411"/>
        <w:gridCol w:w="2751"/>
        <w:gridCol w:w="4854"/>
        <w:gridCol w:w="1298"/>
        <w:gridCol w:w="1298"/>
        <w:gridCol w:w="14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40" w:hRule="atLeast"/>
        </w:trPr>
        <w:tc>
          <w:tcPr>
            <w:tcW w:w="14174" w:type="dxa"/>
            <w:gridSpan w:val="7"/>
            <w:tcBorders>
              <w:bottom w:val="single" w:color="auto" w:sz="4" w:space="0"/>
            </w:tcBorders>
            <w:vAlign w:val="center"/>
          </w:tcPr>
          <w:p>
            <w:pPr>
              <w:jc w:val="center"/>
              <w:rPr>
                <w:rFonts w:hint="eastAsia" w:ascii="仿宋" w:hAnsi="仿宋" w:eastAsia="仿宋"/>
                <w:b/>
                <w:bCs/>
                <w:sz w:val="32"/>
                <w:szCs w:val="32"/>
              </w:rPr>
            </w:pPr>
            <w:r>
              <w:rPr>
                <w:rFonts w:hint="eastAsia" w:ascii="仿宋" w:hAnsi="仿宋" w:eastAsia="仿宋" w:cs="方正小标宋简体"/>
                <w:sz w:val="32"/>
                <w:szCs w:val="32"/>
              </w:rPr>
              <w:t>合并的监管报告事项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65" w:hRule="atLeast"/>
        </w:trPr>
        <w:tc>
          <w:tcPr>
            <w:tcW w:w="1080" w:type="dxa"/>
            <w:tcBorders>
              <w:top w:val="single" w:color="auto" w:sz="4" w:space="0"/>
              <w:left w:val="single" w:color="auto" w:sz="4" w:space="0"/>
              <w:bottom w:val="nil"/>
            </w:tcBorders>
            <w:vAlign w:val="center"/>
          </w:tcPr>
          <w:p>
            <w:pPr>
              <w:widowControl/>
              <w:jc w:val="center"/>
              <w:rPr>
                <w:rFonts w:hint="eastAsia" w:ascii="仿宋" w:hAnsi="仿宋" w:eastAsia="仿宋" w:cs="黑体"/>
                <w:bCs/>
                <w:color w:val="000000"/>
                <w:kern w:val="0"/>
                <w:szCs w:val="21"/>
              </w:rPr>
            </w:pPr>
            <w:r>
              <w:rPr>
                <w:rFonts w:hint="eastAsia" w:ascii="仿宋" w:hAnsi="仿宋" w:eastAsia="仿宋" w:cs="黑体"/>
                <w:bCs/>
                <w:color w:val="000000"/>
                <w:kern w:val="0"/>
                <w:szCs w:val="21"/>
              </w:rPr>
              <w:t>序号</w:t>
            </w:r>
          </w:p>
        </w:tc>
        <w:tc>
          <w:tcPr>
            <w:tcW w:w="1411" w:type="dxa"/>
            <w:tcBorders>
              <w:top w:val="single" w:color="auto" w:sz="4" w:space="0"/>
              <w:bottom w:val="nil"/>
            </w:tcBorders>
            <w:vAlign w:val="center"/>
          </w:tcPr>
          <w:p>
            <w:pPr>
              <w:widowControl/>
              <w:jc w:val="center"/>
              <w:rPr>
                <w:rFonts w:hint="eastAsia" w:ascii="仿宋" w:hAnsi="仿宋" w:eastAsia="仿宋" w:cs="黑体"/>
                <w:bCs/>
                <w:color w:val="000000"/>
                <w:kern w:val="0"/>
                <w:szCs w:val="21"/>
              </w:rPr>
            </w:pPr>
            <w:r>
              <w:rPr>
                <w:rFonts w:hint="eastAsia" w:ascii="仿宋" w:hAnsi="仿宋" w:eastAsia="仿宋" w:cs="黑体"/>
                <w:bCs/>
                <w:color w:val="000000"/>
                <w:kern w:val="0"/>
                <w:szCs w:val="21"/>
              </w:rPr>
              <w:t>原报告事项</w:t>
            </w:r>
          </w:p>
        </w:tc>
        <w:tc>
          <w:tcPr>
            <w:tcW w:w="2751" w:type="dxa"/>
            <w:tcBorders>
              <w:top w:val="single" w:color="auto" w:sz="4" w:space="0"/>
              <w:bottom w:val="nil"/>
            </w:tcBorders>
            <w:vAlign w:val="center"/>
          </w:tcPr>
          <w:p>
            <w:pPr>
              <w:widowControl/>
              <w:jc w:val="center"/>
              <w:rPr>
                <w:rFonts w:hint="eastAsia" w:ascii="仿宋" w:hAnsi="仿宋" w:eastAsia="仿宋" w:cs="黑体"/>
                <w:bCs/>
                <w:color w:val="000000"/>
                <w:kern w:val="0"/>
                <w:szCs w:val="21"/>
              </w:rPr>
            </w:pPr>
            <w:r>
              <w:rPr>
                <w:rFonts w:hint="eastAsia" w:ascii="仿宋" w:hAnsi="仿宋" w:eastAsia="仿宋" w:cs="黑体"/>
                <w:bCs/>
                <w:color w:val="000000"/>
                <w:kern w:val="0"/>
                <w:szCs w:val="21"/>
              </w:rPr>
              <w:t>制度依据</w:t>
            </w:r>
          </w:p>
        </w:tc>
        <w:tc>
          <w:tcPr>
            <w:tcW w:w="4854" w:type="dxa"/>
            <w:tcBorders>
              <w:top w:val="single" w:color="auto" w:sz="4" w:space="0"/>
              <w:bottom w:val="nil"/>
            </w:tcBorders>
            <w:vAlign w:val="center"/>
          </w:tcPr>
          <w:p>
            <w:pPr>
              <w:widowControl/>
              <w:jc w:val="center"/>
              <w:rPr>
                <w:rFonts w:hint="eastAsia" w:ascii="仿宋" w:hAnsi="仿宋" w:eastAsia="仿宋" w:cs="黑体"/>
                <w:bCs/>
                <w:color w:val="000000"/>
                <w:kern w:val="0"/>
                <w:szCs w:val="21"/>
              </w:rPr>
            </w:pPr>
            <w:r>
              <w:rPr>
                <w:rFonts w:hint="eastAsia" w:ascii="仿宋" w:hAnsi="仿宋" w:eastAsia="仿宋" w:cs="黑体"/>
                <w:bCs/>
                <w:color w:val="000000"/>
                <w:kern w:val="0"/>
                <w:szCs w:val="21"/>
              </w:rPr>
              <w:t>相关条款</w:t>
            </w:r>
          </w:p>
        </w:tc>
        <w:tc>
          <w:tcPr>
            <w:tcW w:w="1298" w:type="dxa"/>
            <w:tcBorders>
              <w:top w:val="single" w:color="auto" w:sz="4" w:space="0"/>
              <w:bottom w:val="nil"/>
            </w:tcBorders>
            <w:vAlign w:val="center"/>
          </w:tcPr>
          <w:p>
            <w:pPr>
              <w:widowControl/>
              <w:jc w:val="center"/>
              <w:rPr>
                <w:rFonts w:hint="eastAsia" w:ascii="仿宋" w:hAnsi="仿宋" w:eastAsia="仿宋" w:cs="黑体"/>
                <w:bCs/>
                <w:color w:val="000000"/>
                <w:kern w:val="0"/>
                <w:szCs w:val="21"/>
              </w:rPr>
            </w:pPr>
            <w:r>
              <w:rPr>
                <w:rFonts w:hint="eastAsia" w:ascii="仿宋" w:hAnsi="仿宋" w:eastAsia="仿宋" w:cs="黑体"/>
                <w:bCs/>
                <w:color w:val="000000"/>
                <w:kern w:val="0"/>
                <w:szCs w:val="21"/>
              </w:rPr>
              <w:t>合并后报告名称</w:t>
            </w:r>
          </w:p>
        </w:tc>
        <w:tc>
          <w:tcPr>
            <w:tcW w:w="1298" w:type="dxa"/>
            <w:tcBorders>
              <w:top w:val="single" w:color="auto" w:sz="4" w:space="0"/>
              <w:bottom w:val="nil"/>
            </w:tcBorders>
            <w:vAlign w:val="center"/>
          </w:tcPr>
          <w:p>
            <w:pPr>
              <w:widowControl/>
              <w:jc w:val="center"/>
              <w:rPr>
                <w:rFonts w:hint="eastAsia" w:ascii="仿宋" w:hAnsi="仿宋" w:eastAsia="仿宋" w:cs="黑体"/>
                <w:bCs/>
                <w:color w:val="000000"/>
                <w:kern w:val="0"/>
                <w:szCs w:val="21"/>
              </w:rPr>
            </w:pPr>
            <w:r>
              <w:rPr>
                <w:rFonts w:hint="eastAsia" w:ascii="仿宋" w:hAnsi="仿宋" w:eastAsia="仿宋" w:cs="黑体"/>
                <w:bCs/>
                <w:color w:val="000000"/>
                <w:kern w:val="0"/>
                <w:szCs w:val="21"/>
              </w:rPr>
              <w:t>合并后报告频率</w:t>
            </w:r>
          </w:p>
        </w:tc>
        <w:tc>
          <w:tcPr>
            <w:tcW w:w="1482" w:type="dxa"/>
            <w:tcBorders>
              <w:top w:val="single" w:color="auto" w:sz="4" w:space="0"/>
              <w:bottom w:val="nil"/>
              <w:right w:val="single" w:color="auto" w:sz="4" w:space="0"/>
            </w:tcBorders>
            <w:vAlign w:val="center"/>
          </w:tcPr>
          <w:p>
            <w:pPr>
              <w:widowControl/>
              <w:jc w:val="center"/>
              <w:rPr>
                <w:rFonts w:hint="eastAsia" w:ascii="仿宋" w:hAnsi="仿宋" w:eastAsia="仿宋" w:cs="黑体"/>
                <w:bCs/>
                <w:color w:val="000000"/>
                <w:kern w:val="0"/>
                <w:szCs w:val="21"/>
              </w:rPr>
            </w:pPr>
            <w:r>
              <w:rPr>
                <w:rFonts w:hint="eastAsia" w:ascii="仿宋" w:hAnsi="仿宋" w:eastAsia="仿宋" w:cs="黑体"/>
                <w:bCs/>
                <w:color w:val="000000"/>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4" w:hRule="atLeast"/>
        </w:trPr>
        <w:tc>
          <w:tcPr>
            <w:tcW w:w="1080" w:type="dxa"/>
            <w:tcBorders>
              <w:top w:val="single" w:color="auto" w:sz="4" w:space="0"/>
              <w:left w:val="single" w:color="auto" w:sz="4" w:space="0"/>
              <w:bottom w:val="single" w:color="auto" w:sz="4" w:space="0"/>
            </w:tcBorders>
            <w:vAlign w:val="center"/>
          </w:tcPr>
          <w:p>
            <w:pPr>
              <w:jc w:val="center"/>
              <w:rPr>
                <w:rFonts w:hint="eastAsia" w:ascii="仿宋" w:hAnsi="仿宋" w:eastAsia="仿宋"/>
                <w:sz w:val="20"/>
                <w:szCs w:val="20"/>
              </w:rPr>
            </w:pPr>
            <w:r>
              <w:rPr>
                <w:rFonts w:hint="eastAsia" w:ascii="仿宋" w:hAnsi="仿宋" w:eastAsia="仿宋"/>
                <w:sz w:val="20"/>
                <w:szCs w:val="20"/>
              </w:rPr>
              <w:t>1</w:t>
            </w:r>
          </w:p>
        </w:tc>
        <w:tc>
          <w:tcPr>
            <w:tcW w:w="1411" w:type="dxa"/>
            <w:tcBorders>
              <w:top w:val="single" w:color="auto" w:sz="4" w:space="0"/>
              <w:bottom w:val="single" w:color="auto" w:sz="4" w:space="0"/>
            </w:tcBorders>
            <w:vAlign w:val="center"/>
          </w:tcPr>
          <w:p>
            <w:pPr>
              <w:jc w:val="center"/>
              <w:rPr>
                <w:rFonts w:hint="eastAsia" w:ascii="仿宋" w:hAnsi="仿宋" w:eastAsia="仿宋"/>
                <w:sz w:val="20"/>
                <w:szCs w:val="20"/>
              </w:rPr>
            </w:pPr>
            <w:r>
              <w:rPr>
                <w:rFonts w:hint="eastAsia" w:ascii="仿宋" w:hAnsi="仿宋" w:eastAsia="仿宋"/>
                <w:sz w:val="20"/>
                <w:szCs w:val="20"/>
              </w:rPr>
              <w:t>股权投资情况报告</w:t>
            </w:r>
          </w:p>
        </w:tc>
        <w:tc>
          <w:tcPr>
            <w:tcW w:w="2751" w:type="dxa"/>
            <w:vMerge w:val="restart"/>
            <w:tcBorders>
              <w:top w:val="single" w:color="auto" w:sz="4" w:space="0"/>
              <w:bottom w:val="single" w:color="auto" w:sz="4" w:space="0"/>
            </w:tcBorders>
          </w:tcPr>
          <w:p>
            <w:pPr>
              <w:rPr>
                <w:rFonts w:hint="eastAsia" w:ascii="仿宋" w:hAnsi="仿宋" w:eastAsia="仿宋"/>
                <w:sz w:val="20"/>
                <w:szCs w:val="20"/>
              </w:rPr>
            </w:pPr>
          </w:p>
          <w:p>
            <w:pPr>
              <w:rPr>
                <w:rFonts w:hint="eastAsia" w:ascii="仿宋" w:hAnsi="仿宋" w:eastAsia="仿宋"/>
                <w:sz w:val="20"/>
                <w:szCs w:val="20"/>
              </w:rPr>
            </w:pPr>
          </w:p>
          <w:p>
            <w:pPr>
              <w:rPr>
                <w:rFonts w:hint="eastAsia" w:ascii="仿宋" w:hAnsi="仿宋" w:eastAsia="仿宋"/>
                <w:sz w:val="20"/>
                <w:szCs w:val="20"/>
              </w:rPr>
            </w:pPr>
            <w:r>
              <w:rPr>
                <w:rFonts w:hint="eastAsia" w:ascii="仿宋" w:hAnsi="仿宋" w:eastAsia="仿宋"/>
                <w:sz w:val="20"/>
                <w:szCs w:val="20"/>
              </w:rPr>
              <w:t>《关于保险资金投资股权和不动产有关问题的通知》（保监发〔2012〕59号）</w:t>
            </w:r>
          </w:p>
        </w:tc>
        <w:tc>
          <w:tcPr>
            <w:tcW w:w="4854" w:type="dxa"/>
            <w:vMerge w:val="restart"/>
            <w:tcBorders>
              <w:top w:val="single" w:color="auto" w:sz="4" w:space="0"/>
              <w:bottom w:val="single" w:color="auto" w:sz="4" w:space="0"/>
            </w:tcBorders>
          </w:tcPr>
          <w:p>
            <w:pPr>
              <w:rPr>
                <w:rFonts w:hint="eastAsia" w:ascii="仿宋" w:hAnsi="仿宋" w:eastAsia="仿宋"/>
                <w:sz w:val="20"/>
                <w:szCs w:val="20"/>
              </w:rPr>
            </w:pPr>
            <w:r>
              <w:rPr>
                <w:rFonts w:hint="eastAsia" w:ascii="仿宋" w:hAnsi="仿宋" w:eastAsia="仿宋"/>
                <w:sz w:val="20"/>
                <w:szCs w:val="20"/>
              </w:rPr>
              <w:t>一、调整事项</w:t>
            </w:r>
          </w:p>
          <w:p>
            <w:pPr>
              <w:rPr>
                <w:rFonts w:hint="eastAsia" w:ascii="仿宋" w:hAnsi="仿宋" w:eastAsia="仿宋"/>
                <w:sz w:val="20"/>
                <w:szCs w:val="20"/>
              </w:rPr>
            </w:pPr>
            <w:r>
              <w:rPr>
                <w:rFonts w:hint="eastAsia" w:ascii="仿宋" w:hAnsi="仿宋" w:eastAsia="仿宋"/>
                <w:sz w:val="20"/>
                <w:szCs w:val="20"/>
              </w:rPr>
              <w:t>10.保险公司和托管机构向中国保监会提交投资股权和不动产季度报告的时间，调整为每季度结束后30个工作日内；保险公司、投资机构和托管机构向中国保监会提交投资股权和不动产年度报告的时间，调整为每年4月30日前。</w:t>
            </w:r>
          </w:p>
        </w:tc>
        <w:tc>
          <w:tcPr>
            <w:tcW w:w="1298" w:type="dxa"/>
            <w:vMerge w:val="restart"/>
            <w:tcBorders>
              <w:top w:val="single" w:color="auto" w:sz="4" w:space="0"/>
            </w:tcBorders>
            <w:vAlign w:val="center"/>
          </w:tcPr>
          <w:p>
            <w:pPr>
              <w:rPr>
                <w:rFonts w:hint="eastAsia" w:ascii="仿宋" w:hAnsi="仿宋" w:eastAsia="仿宋"/>
                <w:sz w:val="20"/>
                <w:szCs w:val="20"/>
              </w:rPr>
            </w:pPr>
            <w:r>
              <w:rPr>
                <w:rFonts w:hint="eastAsia" w:ascii="仿宋" w:hAnsi="仿宋" w:eastAsia="仿宋"/>
                <w:sz w:val="20"/>
                <w:szCs w:val="20"/>
              </w:rPr>
              <w:t>xx公司xx年x季度/xx年度资金运用情况报告</w:t>
            </w:r>
          </w:p>
        </w:tc>
        <w:tc>
          <w:tcPr>
            <w:tcW w:w="1298" w:type="dxa"/>
            <w:vMerge w:val="restart"/>
            <w:tcBorders>
              <w:top w:val="single" w:color="auto" w:sz="4" w:space="0"/>
            </w:tcBorders>
            <w:vAlign w:val="center"/>
          </w:tcPr>
          <w:p>
            <w:pPr>
              <w:rPr>
                <w:rFonts w:hint="eastAsia" w:ascii="仿宋" w:hAnsi="仿宋" w:eastAsia="仿宋"/>
                <w:sz w:val="20"/>
                <w:szCs w:val="20"/>
              </w:rPr>
            </w:pPr>
            <w:r>
              <w:rPr>
                <w:rFonts w:hint="eastAsia" w:ascii="仿宋" w:hAnsi="仿宋" w:eastAsia="仿宋"/>
                <w:sz w:val="20"/>
                <w:szCs w:val="20"/>
              </w:rPr>
              <w:t>每季度结束后30个工作日内和每年4月30日前，分别提交季度报告和年度报告。</w:t>
            </w:r>
          </w:p>
        </w:tc>
        <w:tc>
          <w:tcPr>
            <w:tcW w:w="1482" w:type="dxa"/>
            <w:vMerge w:val="restart"/>
            <w:tcBorders>
              <w:top w:val="single" w:color="auto" w:sz="4" w:space="0"/>
              <w:bottom w:val="single" w:color="auto" w:sz="4" w:space="0"/>
              <w:right w:val="single" w:color="auto" w:sz="4" w:space="0"/>
            </w:tcBorders>
            <w:vAlign w:val="center"/>
          </w:tcPr>
          <w:p>
            <w:pPr>
              <w:rPr>
                <w:rFonts w:hint="eastAsia" w:ascii="仿宋" w:hAnsi="仿宋" w:eastAsia="仿宋"/>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98" w:hRule="atLeast"/>
        </w:trPr>
        <w:tc>
          <w:tcPr>
            <w:tcW w:w="1080" w:type="dxa"/>
            <w:tcBorders>
              <w:top w:val="single" w:color="auto" w:sz="4" w:space="0"/>
            </w:tcBorders>
            <w:vAlign w:val="center"/>
          </w:tcPr>
          <w:p>
            <w:pPr>
              <w:jc w:val="center"/>
              <w:rPr>
                <w:rFonts w:hint="eastAsia" w:ascii="仿宋" w:hAnsi="仿宋" w:eastAsia="仿宋"/>
                <w:sz w:val="20"/>
                <w:szCs w:val="20"/>
              </w:rPr>
            </w:pPr>
            <w:r>
              <w:rPr>
                <w:rFonts w:hint="eastAsia" w:ascii="仿宋" w:hAnsi="仿宋" w:eastAsia="仿宋"/>
                <w:sz w:val="20"/>
                <w:szCs w:val="20"/>
              </w:rPr>
              <w:t>2</w:t>
            </w:r>
          </w:p>
        </w:tc>
        <w:tc>
          <w:tcPr>
            <w:tcW w:w="1411" w:type="dxa"/>
            <w:tcBorders>
              <w:top w:val="single" w:color="auto" w:sz="4" w:space="0"/>
            </w:tcBorders>
            <w:vAlign w:val="center"/>
          </w:tcPr>
          <w:p>
            <w:pPr>
              <w:jc w:val="center"/>
              <w:rPr>
                <w:rFonts w:hint="eastAsia" w:ascii="仿宋" w:hAnsi="仿宋" w:eastAsia="仿宋"/>
                <w:sz w:val="20"/>
                <w:szCs w:val="20"/>
              </w:rPr>
            </w:pPr>
            <w:r>
              <w:rPr>
                <w:rFonts w:hint="eastAsia" w:ascii="仿宋" w:hAnsi="仿宋" w:eastAsia="仿宋"/>
                <w:sz w:val="20"/>
                <w:szCs w:val="20"/>
              </w:rPr>
              <w:t>不动产投资情况报告</w:t>
            </w:r>
          </w:p>
        </w:tc>
        <w:tc>
          <w:tcPr>
            <w:tcW w:w="2751" w:type="dxa"/>
            <w:vMerge w:val="continue"/>
            <w:tcBorders>
              <w:top w:val="single" w:color="auto" w:sz="4" w:space="0"/>
            </w:tcBorders>
            <w:vAlign w:val="center"/>
          </w:tcPr>
          <w:p>
            <w:pPr>
              <w:rPr>
                <w:rFonts w:hint="eastAsia" w:ascii="仿宋" w:hAnsi="仿宋" w:eastAsia="仿宋"/>
                <w:sz w:val="20"/>
                <w:szCs w:val="20"/>
              </w:rPr>
            </w:pPr>
          </w:p>
        </w:tc>
        <w:tc>
          <w:tcPr>
            <w:tcW w:w="4854" w:type="dxa"/>
            <w:vMerge w:val="continue"/>
            <w:tcBorders>
              <w:top w:val="single" w:color="auto" w:sz="4" w:space="0"/>
            </w:tcBorders>
            <w:vAlign w:val="center"/>
          </w:tcPr>
          <w:p>
            <w:pPr>
              <w:rPr>
                <w:rFonts w:hint="eastAsia" w:ascii="仿宋" w:hAnsi="仿宋" w:eastAsia="仿宋"/>
                <w:sz w:val="20"/>
                <w:szCs w:val="20"/>
              </w:rPr>
            </w:pPr>
          </w:p>
        </w:tc>
        <w:tc>
          <w:tcPr>
            <w:tcW w:w="1298" w:type="dxa"/>
            <w:vMerge w:val="continue"/>
          </w:tcPr>
          <w:p>
            <w:pPr>
              <w:rPr>
                <w:rFonts w:hint="eastAsia" w:ascii="仿宋" w:hAnsi="仿宋" w:eastAsia="仿宋"/>
                <w:sz w:val="20"/>
                <w:szCs w:val="20"/>
              </w:rPr>
            </w:pPr>
          </w:p>
        </w:tc>
        <w:tc>
          <w:tcPr>
            <w:tcW w:w="1298" w:type="dxa"/>
            <w:vMerge w:val="continue"/>
          </w:tcPr>
          <w:p>
            <w:pPr>
              <w:rPr>
                <w:rFonts w:hint="eastAsia" w:ascii="仿宋" w:hAnsi="仿宋" w:eastAsia="仿宋"/>
                <w:sz w:val="20"/>
                <w:szCs w:val="20"/>
              </w:rPr>
            </w:pPr>
          </w:p>
        </w:tc>
        <w:tc>
          <w:tcPr>
            <w:tcW w:w="1482" w:type="dxa"/>
            <w:vMerge w:val="continue"/>
            <w:tcBorders>
              <w:top w:val="single" w:color="auto" w:sz="4" w:space="0"/>
              <w:right w:val="single" w:color="auto" w:sz="4" w:space="0"/>
            </w:tcBorders>
          </w:tcPr>
          <w:p>
            <w:pPr>
              <w:rPr>
                <w:rFonts w:hint="eastAsia" w:ascii="仿宋" w:hAnsi="仿宋" w:eastAsia="仿宋"/>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72" w:hRule="atLeast"/>
        </w:trPr>
        <w:tc>
          <w:tcPr>
            <w:tcW w:w="1080" w:type="dxa"/>
            <w:vAlign w:val="center"/>
          </w:tcPr>
          <w:p>
            <w:pPr>
              <w:jc w:val="center"/>
              <w:rPr>
                <w:rFonts w:hint="eastAsia" w:ascii="仿宋" w:hAnsi="仿宋" w:eastAsia="仿宋"/>
                <w:sz w:val="20"/>
                <w:szCs w:val="20"/>
              </w:rPr>
            </w:pPr>
            <w:r>
              <w:rPr>
                <w:rFonts w:hint="eastAsia" w:ascii="仿宋" w:hAnsi="仿宋" w:eastAsia="仿宋"/>
                <w:sz w:val="20"/>
                <w:szCs w:val="20"/>
              </w:rPr>
              <w:t>3</w:t>
            </w:r>
          </w:p>
        </w:tc>
        <w:tc>
          <w:tcPr>
            <w:tcW w:w="1411" w:type="dxa"/>
            <w:vAlign w:val="center"/>
          </w:tcPr>
          <w:p>
            <w:pPr>
              <w:jc w:val="center"/>
              <w:rPr>
                <w:rFonts w:hint="eastAsia" w:ascii="仿宋" w:hAnsi="仿宋" w:eastAsia="仿宋"/>
                <w:sz w:val="20"/>
                <w:szCs w:val="20"/>
              </w:rPr>
            </w:pPr>
            <w:r>
              <w:rPr>
                <w:rFonts w:hint="eastAsia" w:ascii="仿宋" w:hAnsi="仿宋" w:eastAsia="仿宋"/>
                <w:sz w:val="20"/>
                <w:szCs w:val="20"/>
              </w:rPr>
              <w:t>金融产品投资情况报告</w:t>
            </w:r>
          </w:p>
        </w:tc>
        <w:tc>
          <w:tcPr>
            <w:tcW w:w="2751" w:type="dxa"/>
            <w:vAlign w:val="center"/>
          </w:tcPr>
          <w:p>
            <w:pPr>
              <w:rPr>
                <w:rFonts w:hint="eastAsia" w:ascii="仿宋" w:hAnsi="仿宋" w:eastAsia="仿宋"/>
                <w:sz w:val="20"/>
                <w:szCs w:val="20"/>
              </w:rPr>
            </w:pPr>
            <w:r>
              <w:rPr>
                <w:rFonts w:hint="eastAsia" w:ascii="仿宋" w:hAnsi="仿宋" w:eastAsia="仿宋"/>
                <w:sz w:val="20"/>
                <w:szCs w:val="20"/>
              </w:rPr>
              <w:t>《关于保险资金投资有关金融产品的通知》（保监发〔2012〕91号）</w:t>
            </w:r>
          </w:p>
        </w:tc>
        <w:tc>
          <w:tcPr>
            <w:tcW w:w="4854" w:type="dxa"/>
            <w:vAlign w:val="center"/>
          </w:tcPr>
          <w:p>
            <w:pPr>
              <w:rPr>
                <w:rFonts w:hint="eastAsia" w:ascii="仿宋" w:hAnsi="仿宋" w:eastAsia="仿宋"/>
                <w:sz w:val="20"/>
                <w:szCs w:val="20"/>
              </w:rPr>
            </w:pPr>
            <w:r>
              <w:rPr>
                <w:rFonts w:hint="eastAsia" w:ascii="仿宋" w:hAnsi="仿宋" w:eastAsia="仿宋"/>
                <w:sz w:val="20"/>
                <w:szCs w:val="20"/>
              </w:rPr>
              <w:t>十七、保险公司投资有关金融产品，应当于每季度结束后30个工作日内和每年4月30日前，分别向中国保监会提交季度报告和年度报告，并附以下书面材料：</w:t>
            </w:r>
            <w:r>
              <w:rPr>
                <w:rFonts w:hint="eastAsia" w:ascii="仿宋" w:hAnsi="仿宋" w:eastAsia="仿宋"/>
                <w:sz w:val="20"/>
                <w:szCs w:val="20"/>
              </w:rPr>
              <w:br w:type="textWrapping"/>
            </w:r>
            <w:r>
              <w:rPr>
                <w:rFonts w:hint="eastAsia" w:ascii="仿宋" w:hAnsi="仿宋" w:eastAsia="仿宋"/>
                <w:sz w:val="20"/>
                <w:szCs w:val="20"/>
              </w:rPr>
              <w:t>（一）投资及合规情况 ；</w:t>
            </w:r>
            <w:r>
              <w:rPr>
                <w:rFonts w:hint="eastAsia" w:ascii="仿宋" w:hAnsi="仿宋" w:eastAsia="仿宋"/>
                <w:sz w:val="20"/>
                <w:szCs w:val="20"/>
              </w:rPr>
              <w:br w:type="textWrapping"/>
            </w:r>
            <w:r>
              <w:rPr>
                <w:rFonts w:hint="eastAsia" w:ascii="仿宋" w:hAnsi="仿宋" w:eastAsia="仿宋"/>
                <w:sz w:val="20"/>
                <w:szCs w:val="20"/>
              </w:rPr>
              <w:t>（二）风险管理状况；</w:t>
            </w:r>
            <w:r>
              <w:rPr>
                <w:rFonts w:hint="eastAsia" w:ascii="仿宋" w:hAnsi="仿宋" w:eastAsia="仿宋"/>
                <w:sz w:val="20"/>
                <w:szCs w:val="20"/>
              </w:rPr>
              <w:br w:type="textWrapping"/>
            </w:r>
            <w:r>
              <w:rPr>
                <w:rFonts w:hint="eastAsia" w:ascii="仿宋" w:hAnsi="仿宋" w:eastAsia="仿宋"/>
                <w:sz w:val="20"/>
                <w:szCs w:val="20"/>
              </w:rPr>
              <w:t>（三）涉及的关联交易情况；</w:t>
            </w:r>
            <w:r>
              <w:rPr>
                <w:rFonts w:hint="eastAsia" w:ascii="仿宋" w:hAnsi="仿宋" w:eastAsia="仿宋"/>
                <w:sz w:val="20"/>
                <w:szCs w:val="20"/>
              </w:rPr>
              <w:br w:type="textWrapping"/>
            </w:r>
            <w:r>
              <w:rPr>
                <w:rFonts w:hint="eastAsia" w:ascii="仿宋" w:hAnsi="仿宋" w:eastAsia="仿宋"/>
                <w:sz w:val="20"/>
                <w:szCs w:val="20"/>
              </w:rPr>
              <w:t>（四）中国保监会规定的其他审慎性内容。</w:t>
            </w:r>
          </w:p>
        </w:tc>
        <w:tc>
          <w:tcPr>
            <w:tcW w:w="1298" w:type="dxa"/>
            <w:vMerge w:val="continue"/>
          </w:tcPr>
          <w:p>
            <w:pPr>
              <w:rPr>
                <w:rFonts w:hint="eastAsia" w:ascii="仿宋" w:hAnsi="仿宋" w:eastAsia="仿宋"/>
                <w:sz w:val="20"/>
                <w:szCs w:val="20"/>
              </w:rPr>
            </w:pPr>
          </w:p>
        </w:tc>
        <w:tc>
          <w:tcPr>
            <w:tcW w:w="1298" w:type="dxa"/>
            <w:vMerge w:val="continue"/>
          </w:tcPr>
          <w:p>
            <w:pPr>
              <w:rPr>
                <w:rFonts w:hint="eastAsia" w:ascii="仿宋" w:hAnsi="仿宋" w:eastAsia="仿宋"/>
                <w:sz w:val="20"/>
                <w:szCs w:val="20"/>
              </w:rPr>
            </w:pPr>
          </w:p>
        </w:tc>
        <w:tc>
          <w:tcPr>
            <w:tcW w:w="1482" w:type="dxa"/>
            <w:vMerge w:val="continue"/>
            <w:tcBorders>
              <w:right w:val="single" w:color="auto" w:sz="4" w:space="0"/>
            </w:tcBorders>
          </w:tcPr>
          <w:p>
            <w:pPr>
              <w:rPr>
                <w:rFonts w:hint="eastAsia" w:ascii="仿宋" w:hAnsi="仿宋" w:eastAsia="仿宋"/>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334" w:hRule="atLeast"/>
        </w:trPr>
        <w:tc>
          <w:tcPr>
            <w:tcW w:w="1080" w:type="dxa"/>
            <w:vAlign w:val="center"/>
          </w:tcPr>
          <w:p>
            <w:pPr>
              <w:jc w:val="center"/>
              <w:rPr>
                <w:rFonts w:hint="eastAsia" w:ascii="仿宋" w:hAnsi="仿宋" w:eastAsia="仿宋"/>
                <w:sz w:val="20"/>
                <w:szCs w:val="20"/>
              </w:rPr>
            </w:pPr>
            <w:r>
              <w:rPr>
                <w:rFonts w:hint="eastAsia" w:ascii="仿宋" w:hAnsi="仿宋" w:eastAsia="仿宋"/>
                <w:sz w:val="20"/>
                <w:szCs w:val="20"/>
              </w:rPr>
              <w:t>4</w:t>
            </w:r>
          </w:p>
        </w:tc>
        <w:tc>
          <w:tcPr>
            <w:tcW w:w="1411" w:type="dxa"/>
            <w:vAlign w:val="center"/>
          </w:tcPr>
          <w:p>
            <w:pPr>
              <w:jc w:val="center"/>
              <w:rPr>
                <w:rFonts w:hint="eastAsia" w:ascii="仿宋" w:hAnsi="仿宋" w:eastAsia="仿宋"/>
                <w:sz w:val="20"/>
                <w:szCs w:val="20"/>
              </w:rPr>
            </w:pPr>
            <w:r>
              <w:rPr>
                <w:rFonts w:hint="eastAsia" w:ascii="仿宋" w:hAnsi="仿宋" w:eastAsia="仿宋"/>
                <w:sz w:val="20"/>
                <w:szCs w:val="20"/>
              </w:rPr>
              <w:t>境外投资情况报告</w:t>
            </w:r>
          </w:p>
        </w:tc>
        <w:tc>
          <w:tcPr>
            <w:tcW w:w="2751" w:type="dxa"/>
            <w:vAlign w:val="center"/>
          </w:tcPr>
          <w:p>
            <w:pPr>
              <w:rPr>
                <w:rFonts w:hint="eastAsia" w:ascii="仿宋" w:hAnsi="仿宋" w:eastAsia="仿宋"/>
                <w:sz w:val="20"/>
                <w:szCs w:val="20"/>
              </w:rPr>
            </w:pPr>
            <w:r>
              <w:rPr>
                <w:rFonts w:hint="eastAsia" w:ascii="仿宋" w:hAnsi="仿宋" w:eastAsia="仿宋" w:cs="宋体"/>
                <w:color w:val="000000"/>
                <w:kern w:val="0"/>
                <w:sz w:val="20"/>
                <w:szCs w:val="20"/>
              </w:rPr>
              <w:t>《关于印发&lt;保险资金境外投资管理暂行办法实施细则&gt;的通知》（保监发〔2012〕93号）</w:t>
            </w:r>
          </w:p>
        </w:tc>
        <w:tc>
          <w:tcPr>
            <w:tcW w:w="4854" w:type="dxa"/>
            <w:vAlign w:val="center"/>
          </w:tcPr>
          <w:p>
            <w:pPr>
              <w:rPr>
                <w:rFonts w:hint="eastAsia" w:ascii="仿宋" w:hAnsi="仿宋" w:eastAsia="仿宋"/>
                <w:sz w:val="20"/>
                <w:szCs w:val="20"/>
              </w:rPr>
            </w:pPr>
            <w:r>
              <w:rPr>
                <w:rFonts w:hint="eastAsia" w:ascii="仿宋" w:hAnsi="仿宋" w:eastAsia="仿宋"/>
                <w:sz w:val="20"/>
                <w:szCs w:val="20"/>
              </w:rPr>
              <w:t>第三十条 委托人应当按照规定，向中国保监会报告下列事项：</w:t>
            </w:r>
            <w:r>
              <w:rPr>
                <w:rFonts w:hint="eastAsia" w:ascii="仿宋" w:hAnsi="仿宋" w:eastAsia="仿宋"/>
                <w:sz w:val="20"/>
                <w:szCs w:val="20"/>
              </w:rPr>
              <w:br w:type="textWrapping"/>
            </w:r>
            <w:r>
              <w:rPr>
                <w:rFonts w:hint="eastAsia" w:ascii="仿宋" w:hAnsi="仿宋" w:eastAsia="仿宋"/>
                <w:sz w:val="20"/>
                <w:szCs w:val="20"/>
              </w:rPr>
              <w:t>（二）季度报告。每季度结束后30个工作日内，报告境外投资情况、风险评估报告、境外投资结算账户余额和收支情况及关联交易；</w:t>
            </w:r>
            <w:r>
              <w:rPr>
                <w:rFonts w:hint="eastAsia" w:ascii="仿宋" w:hAnsi="仿宋" w:eastAsia="仿宋"/>
                <w:sz w:val="20"/>
                <w:szCs w:val="20"/>
              </w:rPr>
              <w:br w:type="textWrapping"/>
            </w:r>
            <w:r>
              <w:rPr>
                <w:rFonts w:hint="eastAsia" w:ascii="仿宋" w:hAnsi="仿宋" w:eastAsia="仿宋"/>
                <w:sz w:val="20"/>
                <w:szCs w:val="20"/>
              </w:rPr>
              <w:t>（三）年度报告。每年4月30日前，报告上一年度受托人和托管人管理保险资金的评估报告;</w:t>
            </w:r>
          </w:p>
        </w:tc>
        <w:tc>
          <w:tcPr>
            <w:tcW w:w="1298" w:type="dxa"/>
            <w:vMerge w:val="continue"/>
            <w:vAlign w:val="center"/>
          </w:tcPr>
          <w:p>
            <w:pPr>
              <w:jc w:val="center"/>
              <w:rPr>
                <w:rFonts w:hint="eastAsia" w:ascii="仿宋" w:hAnsi="仿宋" w:eastAsia="仿宋"/>
                <w:sz w:val="20"/>
                <w:szCs w:val="20"/>
              </w:rPr>
            </w:pPr>
          </w:p>
        </w:tc>
        <w:tc>
          <w:tcPr>
            <w:tcW w:w="1298" w:type="dxa"/>
            <w:vMerge w:val="continue"/>
            <w:vAlign w:val="center"/>
          </w:tcPr>
          <w:p>
            <w:pPr>
              <w:jc w:val="center"/>
              <w:rPr>
                <w:rFonts w:hint="eastAsia" w:ascii="仿宋" w:hAnsi="仿宋" w:eastAsia="仿宋"/>
                <w:sz w:val="20"/>
                <w:szCs w:val="20"/>
              </w:rPr>
            </w:pPr>
          </w:p>
        </w:tc>
        <w:tc>
          <w:tcPr>
            <w:tcW w:w="1482" w:type="dxa"/>
            <w:vMerge w:val="continue"/>
            <w:tcBorders>
              <w:right w:val="single" w:color="auto" w:sz="4" w:space="0"/>
            </w:tcBorders>
          </w:tcPr>
          <w:p>
            <w:pPr>
              <w:rPr>
                <w:rFonts w:hint="eastAsia" w:ascii="仿宋" w:hAnsi="仿宋" w:eastAsia="仿宋"/>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324" w:hRule="atLeast"/>
        </w:trPr>
        <w:tc>
          <w:tcPr>
            <w:tcW w:w="1080" w:type="dxa"/>
            <w:vAlign w:val="center"/>
          </w:tcPr>
          <w:p>
            <w:pPr>
              <w:jc w:val="center"/>
              <w:rPr>
                <w:rFonts w:hint="eastAsia" w:ascii="仿宋" w:hAnsi="仿宋" w:eastAsia="仿宋"/>
                <w:sz w:val="20"/>
                <w:szCs w:val="20"/>
              </w:rPr>
            </w:pPr>
            <w:r>
              <w:rPr>
                <w:rFonts w:hint="eastAsia" w:ascii="仿宋" w:hAnsi="仿宋" w:eastAsia="仿宋"/>
                <w:sz w:val="20"/>
                <w:szCs w:val="20"/>
              </w:rPr>
              <w:t>5</w:t>
            </w:r>
          </w:p>
        </w:tc>
        <w:tc>
          <w:tcPr>
            <w:tcW w:w="1411" w:type="dxa"/>
            <w:vAlign w:val="center"/>
          </w:tcPr>
          <w:p>
            <w:pPr>
              <w:jc w:val="center"/>
              <w:rPr>
                <w:rFonts w:hint="eastAsia" w:ascii="仿宋" w:hAnsi="仿宋" w:eastAsia="仿宋"/>
                <w:sz w:val="20"/>
                <w:szCs w:val="20"/>
              </w:rPr>
            </w:pPr>
            <w:r>
              <w:rPr>
                <w:rFonts w:hint="eastAsia" w:ascii="仿宋" w:hAnsi="仿宋" w:eastAsia="仿宋"/>
                <w:sz w:val="20"/>
                <w:szCs w:val="20"/>
              </w:rPr>
              <w:t>税延养老保险资金运用情况报告</w:t>
            </w:r>
          </w:p>
        </w:tc>
        <w:tc>
          <w:tcPr>
            <w:tcW w:w="2751" w:type="dxa"/>
            <w:vAlign w:val="center"/>
          </w:tcPr>
          <w:p>
            <w:pPr>
              <w:rPr>
                <w:rFonts w:hint="eastAsia" w:ascii="仿宋" w:hAnsi="仿宋" w:eastAsia="仿宋"/>
                <w:sz w:val="20"/>
                <w:szCs w:val="20"/>
              </w:rPr>
            </w:pPr>
            <w:r>
              <w:rPr>
                <w:rFonts w:hint="eastAsia" w:ascii="仿宋" w:hAnsi="仿宋" w:eastAsia="仿宋"/>
                <w:sz w:val="20"/>
                <w:szCs w:val="20"/>
              </w:rPr>
              <w:t>《中国银保监会关于印发&lt;个人税收递延型商业养老保险资金运用管理暂行办法&gt;的通知》（银保监发〔2018〕32号）</w:t>
            </w:r>
          </w:p>
        </w:tc>
        <w:tc>
          <w:tcPr>
            <w:tcW w:w="4854" w:type="dxa"/>
            <w:vAlign w:val="center"/>
          </w:tcPr>
          <w:p>
            <w:pPr>
              <w:rPr>
                <w:rFonts w:hint="eastAsia" w:ascii="仿宋" w:hAnsi="仿宋" w:eastAsia="仿宋"/>
                <w:sz w:val="20"/>
                <w:szCs w:val="20"/>
              </w:rPr>
            </w:pPr>
            <w:r>
              <w:rPr>
                <w:rFonts w:hint="eastAsia" w:ascii="仿宋" w:hAnsi="仿宋" w:eastAsia="仿宋"/>
                <w:sz w:val="20"/>
                <w:szCs w:val="20"/>
              </w:rPr>
              <w:t>第三十一条 保险公司应当于每季度末结束后30个工作日内和每年4月30日前，向中国银行保险监督管理委员会提交分投资账户的税延养老保险资金运用季度报告和年度报告。</w:t>
            </w:r>
          </w:p>
        </w:tc>
        <w:tc>
          <w:tcPr>
            <w:tcW w:w="1298" w:type="dxa"/>
            <w:vMerge w:val="continue"/>
          </w:tcPr>
          <w:p>
            <w:pPr>
              <w:rPr>
                <w:rFonts w:hint="eastAsia" w:ascii="仿宋" w:hAnsi="仿宋" w:eastAsia="仿宋"/>
                <w:sz w:val="20"/>
                <w:szCs w:val="20"/>
              </w:rPr>
            </w:pPr>
          </w:p>
        </w:tc>
        <w:tc>
          <w:tcPr>
            <w:tcW w:w="1298" w:type="dxa"/>
            <w:vMerge w:val="continue"/>
          </w:tcPr>
          <w:p>
            <w:pPr>
              <w:rPr>
                <w:rFonts w:hint="eastAsia" w:ascii="仿宋" w:hAnsi="仿宋" w:eastAsia="仿宋"/>
                <w:sz w:val="20"/>
                <w:szCs w:val="20"/>
              </w:rPr>
            </w:pPr>
          </w:p>
        </w:tc>
        <w:tc>
          <w:tcPr>
            <w:tcW w:w="1482" w:type="dxa"/>
            <w:vMerge w:val="continue"/>
            <w:tcBorders>
              <w:right w:val="single" w:color="auto" w:sz="4" w:space="0"/>
            </w:tcBorders>
          </w:tcPr>
          <w:p>
            <w:pPr>
              <w:rPr>
                <w:rFonts w:hint="eastAsia" w:ascii="仿宋" w:hAnsi="仿宋" w:eastAsia="仿宋"/>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08" w:hRule="atLeast"/>
        </w:trPr>
        <w:tc>
          <w:tcPr>
            <w:tcW w:w="1080" w:type="dxa"/>
            <w:vAlign w:val="center"/>
          </w:tcPr>
          <w:p>
            <w:pPr>
              <w:jc w:val="center"/>
              <w:rPr>
                <w:rFonts w:hint="eastAsia" w:ascii="仿宋" w:hAnsi="仿宋" w:eastAsia="仿宋"/>
                <w:sz w:val="20"/>
                <w:szCs w:val="20"/>
              </w:rPr>
            </w:pPr>
            <w:r>
              <w:rPr>
                <w:rFonts w:hint="eastAsia" w:ascii="仿宋" w:hAnsi="仿宋" w:eastAsia="仿宋"/>
                <w:sz w:val="20"/>
                <w:szCs w:val="20"/>
              </w:rPr>
              <w:t>6</w:t>
            </w:r>
          </w:p>
        </w:tc>
        <w:tc>
          <w:tcPr>
            <w:tcW w:w="1411" w:type="dxa"/>
            <w:vAlign w:val="center"/>
          </w:tcPr>
          <w:p>
            <w:pPr>
              <w:jc w:val="center"/>
              <w:rPr>
                <w:rFonts w:hint="eastAsia" w:ascii="仿宋" w:hAnsi="仿宋" w:eastAsia="仿宋"/>
                <w:sz w:val="20"/>
                <w:szCs w:val="20"/>
              </w:rPr>
            </w:pPr>
            <w:r>
              <w:rPr>
                <w:rFonts w:hint="eastAsia" w:ascii="仿宋" w:hAnsi="仿宋" w:eastAsia="仿宋"/>
                <w:sz w:val="20"/>
                <w:szCs w:val="20"/>
              </w:rPr>
              <w:t>金融衍生品投资情况报告</w:t>
            </w:r>
          </w:p>
        </w:tc>
        <w:tc>
          <w:tcPr>
            <w:tcW w:w="2751" w:type="dxa"/>
            <w:vAlign w:val="center"/>
          </w:tcPr>
          <w:p>
            <w:pPr>
              <w:rPr>
                <w:rFonts w:hint="eastAsia" w:ascii="仿宋" w:hAnsi="仿宋" w:eastAsia="仿宋"/>
                <w:sz w:val="20"/>
                <w:szCs w:val="20"/>
              </w:rPr>
            </w:pPr>
            <w:r>
              <w:rPr>
                <w:rFonts w:hint="eastAsia" w:ascii="仿宋" w:hAnsi="仿宋" w:eastAsia="仿宋"/>
                <w:sz w:val="20"/>
                <w:szCs w:val="20"/>
              </w:rPr>
              <w:t>《中国银保监会办公厅关于印发保险资金参与金融衍生产品交易办法等三个文件的通知》（银保监办发〔2020〕59号）附件1：保险资金参与金融衍生产品交易办法</w:t>
            </w:r>
          </w:p>
        </w:tc>
        <w:tc>
          <w:tcPr>
            <w:tcW w:w="4854" w:type="dxa"/>
            <w:vAlign w:val="center"/>
          </w:tcPr>
          <w:p>
            <w:pPr>
              <w:rPr>
                <w:rFonts w:hint="eastAsia" w:ascii="仿宋" w:hAnsi="仿宋" w:eastAsia="仿宋"/>
                <w:sz w:val="20"/>
                <w:szCs w:val="20"/>
              </w:rPr>
            </w:pPr>
            <w:r>
              <w:rPr>
                <w:rFonts w:hint="eastAsia" w:ascii="仿宋" w:hAnsi="仿宋" w:eastAsia="仿宋"/>
                <w:sz w:val="20"/>
                <w:szCs w:val="20"/>
              </w:rPr>
              <w:t>第三条 ……本办法所称金融衍生产品交易（以下简称衍生品交易），是指境内衍生品交易，不包括境外衍生品交易。</w:t>
            </w:r>
          </w:p>
          <w:p>
            <w:pPr>
              <w:rPr>
                <w:rFonts w:hint="eastAsia" w:ascii="仿宋" w:hAnsi="仿宋" w:eastAsia="仿宋"/>
                <w:sz w:val="20"/>
                <w:szCs w:val="20"/>
              </w:rPr>
            </w:pPr>
            <w:r>
              <w:rPr>
                <w:rFonts w:hint="eastAsia" w:ascii="仿宋" w:hAnsi="仿宋" w:eastAsia="仿宋"/>
                <w:sz w:val="20"/>
                <w:szCs w:val="20"/>
              </w:rPr>
              <w:t>第三十一条 保险集团（控股）公司、保险公司应当按照规定向银保监会报送以下报告：</w:t>
            </w:r>
          </w:p>
          <w:p>
            <w:pPr>
              <w:rPr>
                <w:rFonts w:hint="eastAsia" w:ascii="仿宋" w:hAnsi="仿宋" w:eastAsia="仿宋"/>
                <w:sz w:val="20"/>
                <w:szCs w:val="20"/>
              </w:rPr>
            </w:pPr>
            <w:r>
              <w:rPr>
                <w:rFonts w:hint="eastAsia" w:ascii="仿宋" w:hAnsi="仿宋" w:eastAsia="仿宋"/>
                <w:sz w:val="20"/>
                <w:szCs w:val="20"/>
              </w:rPr>
              <w:t>（一）每个季度结束后的10个工作日内，报送衍生品交易的期末风险敞口总额、各类衍生品风险敞口金额，以及该季度的风险对冲情况和合规情况；</w:t>
            </w:r>
          </w:p>
          <w:p>
            <w:pPr>
              <w:rPr>
                <w:rFonts w:hint="eastAsia" w:ascii="仿宋" w:hAnsi="仿宋" w:eastAsia="仿宋"/>
                <w:sz w:val="20"/>
                <w:szCs w:val="20"/>
              </w:rPr>
            </w:pPr>
            <w:r>
              <w:rPr>
                <w:rFonts w:hint="eastAsia" w:ascii="仿宋" w:hAnsi="仿宋" w:eastAsia="仿宋"/>
                <w:sz w:val="20"/>
                <w:szCs w:val="20"/>
              </w:rPr>
              <w:t>（二）每半年度和年度结束后的30个工作日内，报送衍生品交易的稽核审计报告;</w:t>
            </w:r>
          </w:p>
        </w:tc>
        <w:tc>
          <w:tcPr>
            <w:tcW w:w="1298" w:type="dxa"/>
            <w:vMerge w:val="continue"/>
          </w:tcPr>
          <w:p>
            <w:pPr>
              <w:rPr>
                <w:rFonts w:hint="eastAsia" w:ascii="仿宋" w:hAnsi="仿宋" w:eastAsia="仿宋"/>
                <w:sz w:val="20"/>
                <w:szCs w:val="20"/>
              </w:rPr>
            </w:pPr>
          </w:p>
        </w:tc>
        <w:tc>
          <w:tcPr>
            <w:tcW w:w="1298" w:type="dxa"/>
            <w:vMerge w:val="continue"/>
          </w:tcPr>
          <w:p>
            <w:pPr>
              <w:rPr>
                <w:rFonts w:hint="eastAsia" w:ascii="仿宋" w:hAnsi="仿宋" w:eastAsia="仿宋"/>
                <w:sz w:val="20"/>
                <w:szCs w:val="20"/>
              </w:rPr>
            </w:pPr>
          </w:p>
        </w:tc>
        <w:tc>
          <w:tcPr>
            <w:tcW w:w="1482" w:type="dxa"/>
            <w:vMerge w:val="continue"/>
            <w:tcBorders>
              <w:right w:val="single" w:color="auto" w:sz="4" w:space="0"/>
            </w:tcBorders>
          </w:tcPr>
          <w:p>
            <w:pPr>
              <w:rPr>
                <w:rFonts w:hint="eastAsia" w:ascii="仿宋" w:hAnsi="仿宋" w:eastAsia="仿宋"/>
                <w:sz w:val="20"/>
                <w:szCs w:val="20"/>
              </w:rPr>
            </w:pPr>
          </w:p>
        </w:tc>
      </w:tr>
    </w:tbl>
    <w:p>
      <w:pPr>
        <w:rPr>
          <w:rFonts w:hint="eastAsia" w:ascii="仿宋" w:hAnsi="仿宋" w:eastAsia="仿宋"/>
        </w:rPr>
      </w:pPr>
    </w:p>
    <w:p>
      <w:pPr>
        <w:rPr>
          <w:rFonts w:hint="eastAsia" w:ascii="仿宋" w:hAnsi="仿宋" w:eastAsia="仿宋"/>
        </w:rPr>
        <w:sectPr>
          <w:pgSz w:w="16838" w:h="11906" w:orient="landscape"/>
          <w:pgMar w:top="1797" w:right="1440" w:bottom="1797" w:left="1440" w:header="851" w:footer="992" w:gutter="0"/>
          <w:cols w:space="425" w:num="1"/>
          <w:docGrid w:type="linesAndChars" w:linePitch="312" w:charSpace="0"/>
        </w:sect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