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85" w:name="_Toc23138"/>
      <w:r>
        <w:rPr>
          <w:rFonts w:hint="eastAsia"/>
        </w:rPr>
        <w:t>8</w:t>
      </w:r>
      <w:r>
        <w:t>40--</w:t>
      </w:r>
      <w:r>
        <w:rPr>
          <w:rFonts w:hint="eastAsia"/>
        </w:rPr>
        <w:t xml:space="preserve">财政部 </w:t>
      </w:r>
      <w:r>
        <w:t xml:space="preserve"> 银保监会</w:t>
      </w:r>
      <w:r>
        <w:rPr>
          <w:rFonts w:hint="eastAsia"/>
        </w:rPr>
        <w:t xml:space="preserve">关于加快推进银行函证规范化、集约化、数字化建设的通知 </w:t>
      </w:r>
      <w:r>
        <w:br w:type="textWrapping"/>
      </w:r>
      <w:r>
        <w:rPr>
          <w:rFonts w:hint="eastAsia"/>
        </w:rPr>
        <w:t>财会〔</w:t>
      </w:r>
      <w:r>
        <w:t>2022〕39号</w:t>
      </w:r>
      <w:bookmarkEnd w:id="2585"/>
    </w:p>
    <w:p>
      <w:pPr>
        <w:adjustRightInd w:val="0"/>
        <w:snapToGrid w:val="0"/>
        <w:spacing w:line="312" w:lineRule="auto"/>
        <w:rPr>
          <w:rFonts w:hint="eastAsia" w:ascii="仿宋" w:hAnsi="仿宋" w:eastAsia="仿宋"/>
        </w:rPr>
      </w:pPr>
      <w:r>
        <w:rPr>
          <w:rFonts w:hint="eastAsia" w:ascii="仿宋" w:hAnsi="仿宋" w:eastAsia="仿宋"/>
        </w:rPr>
        <w:t>各省、自治区、直辖市财政厅（局），深圳市财政局，新疆生产建设兵团财政局，各银保监局，中国注册会计师协会、各省级注册会计师协会，中国银行业协会，各政策性银行、大型银行、股份制银行、外资银行，各会计师事务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为贯彻落实《国务院办公厅关于进一步规范财务审计秩序促进注册会计师行业健康发展的意见》（国办发〔</w:t>
      </w:r>
      <w:r>
        <w:rPr>
          <w:rFonts w:ascii="仿宋" w:hAnsi="仿宋" w:eastAsia="仿宋"/>
        </w:rPr>
        <w:t>2021〕30号）要求，进一步推进银行函证规范化、集约化、数字化，提升审计质量和效率，现将有关事项通知如下：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一、全面实现银行函证业务规范化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各会计师事务所和各银行业金融机构（以下简称银行）应当严格遵守《财政部</w:t>
      </w:r>
      <w:r>
        <w:rPr>
          <w:rFonts w:ascii="仿宋" w:hAnsi="仿宋" w:eastAsia="仿宋"/>
        </w:rPr>
        <w:t>银保监会关于进一步规范银行函证及回函工作的通知》（财会〔2020〕12号）及《银行函证及回函工作操作指引》（财办会〔2020〕21号）有关要求，按照规范的函证内容、格式和程序处理函证业务，加强函证过程控制，提升函证工作质量，实现银行函证业务规范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政部、银保监会加强对银行函证业务规范化工作的要求和管理，指导中国注册会计师协会、中国银行业协会做好持续完善银行函证操作指引、细化函证项目内容和解释口径、及时发布问题解答、开展业务培训等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二、加快推进银行函证业务集约化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银行函证业务集约化要求会计师事务所和银行集中办理银行函证业务，完善流程、加强管控、堵塞漏洞，确保函证信息质量。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（一）自</w:t>
      </w:r>
      <w:r>
        <w:rPr>
          <w:rFonts w:ascii="仿宋" w:hAnsi="仿宋" w:eastAsia="仿宋"/>
        </w:rPr>
        <w:t>2023年1月1日起，备案从事证券业务的会计师事务所开展上市公司年报审计业务时，应当实现上市公司银行函证业务集约化。即，由会计师事务所指定处理函证的内部专门机构（或岗位）统一、集中处理函证业务，不得由项目组或注册会计师个人自行收发函证。其他会计师事务所和其他审计业务应当于2023年12月31日前实现银行函证集约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（二）会计师事务所在一体化管理自评时，应当按照《会计师事务所一体化管理办法》（财会〔</w:t>
      </w:r>
      <w:r>
        <w:rPr>
          <w:rFonts w:ascii="仿宋" w:hAnsi="仿宋" w:eastAsia="仿宋"/>
        </w:rPr>
        <w:t>2022〕12号）、《会计师事务所一体化管理评估指标评价标准》（财办会〔2022〕20号）有关要求，对函证业务集约化情况进行评价并在注册会计师行业统一监管平台进行报备。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（三）各银保监局以及各政策性银行、大型银行、股份制银行、外资银行于</w:t>
      </w:r>
      <w:r>
        <w:rPr>
          <w:rFonts w:ascii="仿宋" w:hAnsi="仿宋" w:eastAsia="仿宋"/>
        </w:rPr>
        <w:t>2023年1月31日前将函证集中处理等工作情况报送银保监会法规部。银行应当履行主体责任，对照函证集中处理的有关工作要求，对函证集中处理的落实情况和实施效果进行评估自查。集中处理不符合监管要求的，银行应当进行及时有效的整改，并将评估自查和整改情况报送所属监管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会计师事务所应当在注册会计师行业统一监管平台公示接受函证回函的事务所地址和联系方式；实现函证业务集中处理的银行应当通过官网、客户端、小程序或者微信公众号等渠道公布银行函证工作流程、回函方式（纸质或数字化）、受理部门、联系方式等信息。中国注册会计师协会、中国银行业协会分别通过注册会计师行业统一监管平台、中国银行业协会网站等渠道同步汇总公布相关信息，以便会计师事务所、银行查询对接。各银保监局指导辖内行业自律组织配合中国银行业协会做好辖内法人银行的公示信息收集、更新和报送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三、积极探索银行函证业务数字化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鼓励具备条件的会计师事务所和银行通过银行函证平台（包括第三方函证平台和银行自建函证平台，下同）开展数字化函证，有效提升函证效率和效果。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（一）银行以数字化方式回函的，应当自收到符合规定的询证函之日起</w:t>
      </w:r>
      <w:r>
        <w:rPr>
          <w:rFonts w:ascii="仿宋" w:hAnsi="仿宋" w:eastAsia="仿宋"/>
        </w:rPr>
        <w:t>10个工作日内完成回函。会计师事务所应当按照审计档案相关规定妥善保存电子回函。银行不得向接入第三方函证平台的会计师事务所提出开立银行账户及网银、单独与银行进行测试等前置条件。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数字化回函与纸质回函具有同等法律效力和证明力。无论采取数字化或纸质方式回函，银行均应当加强内部稽核、校验，对回函内容的真实性、准确性负责，不得以任何理由、任何方式免责。银行数字化回函内容不能覆盖财办会〔</w:t>
      </w:r>
      <w:r>
        <w:rPr>
          <w:rFonts w:ascii="仿宋" w:hAnsi="仿宋" w:eastAsia="仿宋"/>
        </w:rPr>
        <w:t>2020〕21号文件规范的前13项询证项目的，应当以纸质方式进行辅助回函。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行函证平台应当坚持安全可控、标准规范、开放兼容的原则，稳步推动银行函证数字化工作。银行函证平台应当对函证数据在平台传输、存储等环节的安全性、完整性、准确性负责。银行函证平台应当按照财会〔</w:t>
      </w:r>
      <w:r>
        <w:rPr>
          <w:rFonts w:ascii="仿宋" w:hAnsi="仿宋" w:eastAsia="仿宋"/>
        </w:rPr>
        <w:t>2020〕12号、财办会〔2020〕21号文件规定的函证格式和执行标准进行功能设计，设置统一、明确、具体的规范性校验规则。中国注册会计师协会对接入银行函证平台的会计师事务所提供身份认证。中国银行业协会加强对银行接入第三方函证平台的自律管理，组织做好相关风险点梳理及风险评估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本通知自印发之日起施行。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请各银保监局将本通知转发至辖内银保监分局与地方法人银行业金融机构。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附件：备案从事证券服务业务会计师事务所名单（截至</w:t>
      </w:r>
      <w:r>
        <w:rPr>
          <w:rFonts w:ascii="仿宋" w:hAnsi="仿宋" w:eastAsia="仿宋"/>
        </w:rPr>
        <w:t>2022年12月30日）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 xml:space="preserve">财政部 </w:t>
      </w:r>
      <w:r>
        <w:rPr>
          <w:rFonts w:ascii="仿宋" w:hAnsi="仿宋" w:eastAsia="仿宋"/>
        </w:rPr>
        <w:t xml:space="preserve"> 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2022年12月30日</w:t>
      </w:r>
    </w:p>
    <w:p>
      <w:pPr>
        <w:widowControl/>
        <w:jc w:val="left"/>
        <w:rPr>
          <w:rFonts w:hint="eastAsia" w:ascii="仿宋" w:hAnsi="仿宋" w:eastAsia="仿宋"/>
        </w:rPr>
      </w:pPr>
      <w:r>
        <w:rPr>
          <w:rFonts w:ascii="仿宋" w:hAnsi="仿宋" w:eastAsia="仿宋"/>
        </w:rPr>
        <w:br w:type="page"/>
      </w:r>
    </w:p>
    <w:p>
      <w:pPr>
        <w:adjustRightInd w:val="0"/>
        <w:snapToGrid w:val="0"/>
        <w:jc w:val="left"/>
        <w:rPr>
          <w:rFonts w:hint="eastAsia" w:ascii="仿宋" w:hAnsi="仿宋" w:eastAsia="仿宋" w:cs="方正黑体_GBK"/>
          <w:sz w:val="28"/>
          <w:szCs w:val="28"/>
        </w:rPr>
      </w:pPr>
      <w:r>
        <w:rPr>
          <w:rFonts w:hint="eastAsia" w:ascii="仿宋" w:hAnsi="仿宋" w:eastAsia="仿宋" w:cs="方正黑体_GBK"/>
          <w:sz w:val="28"/>
          <w:szCs w:val="28"/>
        </w:rPr>
        <w:t>附件：</w:t>
      </w:r>
    </w:p>
    <w:p>
      <w:pPr>
        <w:adjustRightInd w:val="0"/>
        <w:snapToGrid w:val="0"/>
        <w:jc w:val="center"/>
        <w:rPr>
          <w:rFonts w:hint="eastAsia" w:ascii="仿宋" w:hAnsi="仿宋" w:eastAsia="仿宋" w:cs="方正小标宋_GBK"/>
          <w:sz w:val="28"/>
          <w:szCs w:val="28"/>
        </w:rPr>
      </w:pPr>
    </w:p>
    <w:p>
      <w:pPr>
        <w:adjustRightInd w:val="0"/>
        <w:snapToGrid w:val="0"/>
        <w:jc w:val="center"/>
        <w:rPr>
          <w:rFonts w:hint="eastAsia" w:ascii="仿宋" w:hAnsi="仿宋" w:eastAsia="仿宋" w:cs="方正小标宋_GBK"/>
          <w:b/>
          <w:bCs/>
          <w:sz w:val="28"/>
          <w:szCs w:val="28"/>
        </w:rPr>
      </w:pPr>
      <w:r>
        <w:rPr>
          <w:rFonts w:hint="eastAsia" w:ascii="仿宋" w:hAnsi="仿宋" w:eastAsia="仿宋" w:cs="方正小标宋_GBK"/>
          <w:b/>
          <w:bCs/>
          <w:sz w:val="28"/>
          <w:szCs w:val="28"/>
        </w:rPr>
        <w:t>备案从事证券服务业务会计师事务所名单</w:t>
      </w:r>
    </w:p>
    <w:p>
      <w:pPr>
        <w:adjustRightInd w:val="0"/>
        <w:snapToGrid w:val="0"/>
        <w:jc w:val="center"/>
        <w:rPr>
          <w:rFonts w:hint="eastAsia" w:ascii="仿宋" w:hAnsi="仿宋" w:eastAsia="仿宋" w:cs="方正小标宋_GBK"/>
          <w:sz w:val="28"/>
          <w:szCs w:val="28"/>
        </w:rPr>
      </w:pPr>
      <w:r>
        <w:rPr>
          <w:rFonts w:hint="eastAsia" w:ascii="仿宋" w:hAnsi="仿宋" w:eastAsia="仿宋" w:cs="方正小标宋_GBK"/>
          <w:sz w:val="28"/>
          <w:szCs w:val="28"/>
        </w:rPr>
        <w:t>（截至2022年12月 30日）</w:t>
      </w:r>
    </w:p>
    <w:p>
      <w:pPr>
        <w:adjustRightInd w:val="0"/>
        <w:snapToGrid w:val="0"/>
        <w:jc w:val="center"/>
        <w:rPr>
          <w:rFonts w:hint="eastAsia" w:ascii="仿宋" w:hAnsi="仿宋" w:eastAsia="仿宋" w:cs="方正小标宋_GBK"/>
          <w:sz w:val="28"/>
          <w:szCs w:val="28"/>
        </w:rPr>
      </w:pPr>
    </w:p>
    <w:tbl>
      <w:tblPr>
        <w:tblStyle w:val="42"/>
        <w:tblW w:w="4999" w:type="pct"/>
        <w:tblInd w:w="0" w:type="dxa"/>
        <w:tblLayout w:type="autofit"/>
        <w:tblCellMar>
          <w:top w:w="0" w:type="dxa"/>
          <w:left w:w="108" w:type="dxa"/>
          <w:bottom w:w="0" w:type="dxa"/>
          <w:right w:w="108" w:type="dxa"/>
        </w:tblCellMar>
      </w:tblPr>
      <w:tblGrid>
        <w:gridCol w:w="1528"/>
        <w:gridCol w:w="3111"/>
        <w:gridCol w:w="2354"/>
        <w:gridCol w:w="1533"/>
      </w:tblGrid>
      <w:tr>
        <w:tblPrEx>
          <w:tblCellMar>
            <w:top w:w="0" w:type="dxa"/>
            <w:left w:w="108" w:type="dxa"/>
            <w:bottom w:w="0" w:type="dxa"/>
            <w:right w:w="108" w:type="dxa"/>
          </w:tblCellMar>
        </w:tblPrEx>
        <w:trPr>
          <w:trHeight w:val="645" w:hRule="atLeast"/>
        </w:trPr>
        <w:tc>
          <w:tcPr>
            <w:tcW w:w="896" w:type="pct"/>
            <w:tcBorders>
              <w:top w:val="single" w:color="000000" w:sz="8" w:space="0"/>
              <w:left w:val="single" w:color="000000" w:sz="8" w:space="0"/>
              <w:bottom w:val="single" w:color="000000" w:sz="8" w:space="0"/>
              <w:right w:val="single" w:color="000000" w:sz="8" w:space="0"/>
            </w:tcBorders>
            <w:vAlign w:val="center"/>
          </w:tcPr>
          <w:p>
            <w:pPr>
              <w:widowControl/>
              <w:jc w:val="center"/>
              <w:textAlignment w:val="center"/>
              <w:rPr>
                <w:rFonts w:hint="eastAsia" w:ascii="仿宋" w:hAnsi="仿宋" w:eastAsia="仿宋" w:cs="方正黑体_GBK"/>
                <w:color w:val="000000"/>
                <w:sz w:val="24"/>
                <w:szCs w:val="24"/>
              </w:rPr>
            </w:pPr>
            <w:r>
              <w:rPr>
                <w:rFonts w:hint="eastAsia" w:ascii="仿宋" w:hAnsi="仿宋" w:eastAsia="仿宋" w:cs="方正黑体_GBK"/>
                <w:color w:val="000000"/>
                <w:kern w:val="0"/>
                <w:sz w:val="24"/>
                <w:lang w:bidi="ar"/>
              </w:rPr>
              <w:t>序号</w:t>
            </w:r>
          </w:p>
        </w:tc>
        <w:tc>
          <w:tcPr>
            <w:tcW w:w="1824" w:type="pct"/>
            <w:tcBorders>
              <w:top w:val="single" w:color="000000" w:sz="8" w:space="0"/>
              <w:left w:val="nil"/>
              <w:bottom w:val="single" w:color="000000" w:sz="8" w:space="0"/>
              <w:right w:val="single" w:color="000000" w:sz="8" w:space="0"/>
            </w:tcBorders>
            <w:vAlign w:val="center"/>
          </w:tcPr>
          <w:p>
            <w:pPr>
              <w:widowControl/>
              <w:jc w:val="center"/>
              <w:textAlignment w:val="center"/>
              <w:rPr>
                <w:rFonts w:hint="eastAsia" w:ascii="仿宋" w:hAnsi="仿宋" w:eastAsia="仿宋" w:cs="方正黑体_GBK"/>
                <w:color w:val="000000"/>
                <w:sz w:val="24"/>
              </w:rPr>
            </w:pPr>
            <w:r>
              <w:rPr>
                <w:rFonts w:hint="eastAsia" w:ascii="仿宋" w:hAnsi="仿宋" w:eastAsia="仿宋" w:cs="方正黑体_GBK"/>
                <w:color w:val="000000"/>
                <w:kern w:val="0"/>
                <w:sz w:val="24"/>
                <w:lang w:bidi="ar"/>
              </w:rPr>
              <w:t>会计师事务所名称</w:t>
            </w:r>
          </w:p>
        </w:tc>
        <w:tc>
          <w:tcPr>
            <w:tcW w:w="1380" w:type="pct"/>
            <w:tcBorders>
              <w:top w:val="single" w:color="000000" w:sz="8" w:space="0"/>
              <w:left w:val="nil"/>
              <w:bottom w:val="single" w:color="000000" w:sz="8" w:space="0"/>
              <w:right w:val="single" w:color="000000" w:sz="8" w:space="0"/>
            </w:tcBorders>
            <w:vAlign w:val="center"/>
          </w:tcPr>
          <w:p>
            <w:pPr>
              <w:widowControl/>
              <w:jc w:val="center"/>
              <w:textAlignment w:val="center"/>
              <w:rPr>
                <w:rFonts w:hint="eastAsia" w:ascii="仿宋" w:hAnsi="仿宋" w:eastAsia="仿宋" w:cs="方正黑体_GBK"/>
                <w:color w:val="000000"/>
                <w:sz w:val="24"/>
              </w:rPr>
            </w:pPr>
            <w:r>
              <w:rPr>
                <w:rFonts w:hint="eastAsia" w:ascii="仿宋" w:hAnsi="仿宋" w:eastAsia="仿宋" w:cs="方正黑体_GBK"/>
                <w:color w:val="000000"/>
                <w:kern w:val="0"/>
                <w:sz w:val="24"/>
                <w:lang w:bidi="ar"/>
              </w:rPr>
              <w:t>组织形式</w:t>
            </w:r>
          </w:p>
        </w:tc>
        <w:tc>
          <w:tcPr>
            <w:tcW w:w="898" w:type="pct"/>
            <w:tcBorders>
              <w:top w:val="single" w:color="000000" w:sz="8" w:space="0"/>
              <w:left w:val="nil"/>
              <w:bottom w:val="single" w:color="000000" w:sz="8" w:space="0"/>
              <w:right w:val="single" w:color="000000" w:sz="8" w:space="0"/>
            </w:tcBorders>
            <w:vAlign w:val="center"/>
          </w:tcPr>
          <w:p>
            <w:pPr>
              <w:widowControl/>
              <w:jc w:val="center"/>
              <w:textAlignment w:val="center"/>
              <w:rPr>
                <w:rFonts w:hint="eastAsia" w:ascii="仿宋" w:hAnsi="仿宋" w:eastAsia="仿宋" w:cs="方正黑体_GBK"/>
                <w:color w:val="000000"/>
                <w:sz w:val="24"/>
              </w:rPr>
            </w:pPr>
            <w:r>
              <w:rPr>
                <w:rFonts w:hint="eastAsia" w:ascii="仿宋" w:hAnsi="仿宋" w:eastAsia="仿宋" w:cs="方正黑体_GBK"/>
                <w:color w:val="000000"/>
                <w:kern w:val="0"/>
                <w:sz w:val="24"/>
                <w:lang w:bidi="ar"/>
              </w:rPr>
              <w:t>注册地</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安徽华明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安徽</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安永华明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北京澄宇</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北京大地泰华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北京大华国际</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北京东审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北京国府嘉盈</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北京国富</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北京精勤</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10</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北京天玺源</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11</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北京兴昌华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12</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北京兴华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13</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北京兴荣华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14</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北京炎黄</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15</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北京中名国成</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16</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北京中天恒</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17</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北京中天华茂</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18</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毕马威华振</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19</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重庆康华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重庆</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20</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大华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21</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大信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22</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德勤华永</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23</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德赢（福建）</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福建</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24</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赣州联信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江西</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25</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公证天业</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江苏</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26</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广东诚安信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27</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广东亨安</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28</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广东立信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29</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广东岭南智华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30</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广东司农</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w:t>
            </w:r>
          </w:p>
        </w:tc>
      </w:tr>
      <w:tr>
        <w:tblPrEx>
          <w:tblCellMar>
            <w:top w:w="0" w:type="dxa"/>
            <w:left w:w="108" w:type="dxa"/>
            <w:bottom w:w="0" w:type="dxa"/>
            <w:right w:w="108" w:type="dxa"/>
          </w:tblCellMar>
        </w:tblPrEx>
        <w:trPr>
          <w:trHeight w:val="300" w:hRule="atLeast"/>
        </w:trPr>
        <w:tc>
          <w:tcPr>
            <w:tcW w:w="896" w:type="pct"/>
            <w:tcBorders>
              <w:top w:val="single" w:color="000000" w:sz="8" w:space="0"/>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31</w:t>
            </w:r>
          </w:p>
        </w:tc>
        <w:tc>
          <w:tcPr>
            <w:tcW w:w="1824" w:type="pct"/>
            <w:tcBorders>
              <w:top w:val="single" w:color="000000" w:sz="8" w:space="0"/>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广东中天粤</w:t>
            </w:r>
          </w:p>
        </w:tc>
        <w:tc>
          <w:tcPr>
            <w:tcW w:w="1380" w:type="pct"/>
            <w:tcBorders>
              <w:top w:val="single" w:color="000000" w:sz="8" w:space="0"/>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single" w:color="000000" w:sz="8" w:space="0"/>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w:t>
            </w:r>
          </w:p>
        </w:tc>
      </w:tr>
      <w:tr>
        <w:tblPrEx>
          <w:tblCellMar>
            <w:top w:w="0" w:type="dxa"/>
            <w:left w:w="108" w:type="dxa"/>
            <w:bottom w:w="0" w:type="dxa"/>
            <w:right w:w="108" w:type="dxa"/>
          </w:tblCellMar>
        </w:tblPrEx>
        <w:trPr>
          <w:trHeight w:val="300" w:hRule="atLeast"/>
        </w:trPr>
        <w:tc>
          <w:tcPr>
            <w:tcW w:w="896" w:type="pct"/>
            <w:tcBorders>
              <w:top w:val="single" w:color="000000" w:sz="8" w:space="0"/>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32</w:t>
            </w:r>
          </w:p>
        </w:tc>
        <w:tc>
          <w:tcPr>
            <w:tcW w:w="1824" w:type="pct"/>
            <w:tcBorders>
              <w:top w:val="single" w:color="000000" w:sz="8" w:space="0"/>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广东中职信</w:t>
            </w:r>
          </w:p>
        </w:tc>
        <w:tc>
          <w:tcPr>
            <w:tcW w:w="1380" w:type="pct"/>
            <w:tcBorders>
              <w:top w:val="single" w:color="000000" w:sz="8" w:space="0"/>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single" w:color="000000" w:sz="8" w:space="0"/>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广东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33</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和信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山东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34</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河南守正创新</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河南</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35</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湖南楚才</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湖南</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36</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湖南和泉正</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湖南</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37</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湖南建业</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湖南</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38</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湖南容信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湖南</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39</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华兴</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福建</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40</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嘉兴知联中佳</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浙江</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41</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江苏苏港</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江苏</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42</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利安达</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43</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立信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44</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立信中联</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天津</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45</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辽宁录永</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辽宁</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46</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南通万隆</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江苏</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47</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鹏盛</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48</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普华永道中天</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49</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容诚</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50</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瑞华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51</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山东健诚</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山东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52</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山东帕拉蒙德</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山东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53</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山东舜天信诚</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山东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54</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上海浦江</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55</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上海友道</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56</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上海孜荣</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57</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上会</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58</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绍兴鉴湖联合</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浙江</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59</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深圳长江</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60</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深圳大华国际</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61</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深圳广深</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62</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深圳皇嘉</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63</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深圳久安</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64</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深圳联创立信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65</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深圳堂堂</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66</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深圳旭泰</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67</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深圳宣达</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68</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深圳永信瑞和</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69</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深圳振兴</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70</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深圳正一</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深圳</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71</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四川德文</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四川</w:t>
            </w:r>
          </w:p>
        </w:tc>
      </w:tr>
      <w:tr>
        <w:tblPrEx>
          <w:tblCellMar>
            <w:top w:w="0" w:type="dxa"/>
            <w:left w:w="108" w:type="dxa"/>
            <w:bottom w:w="0" w:type="dxa"/>
            <w:right w:w="108" w:type="dxa"/>
          </w:tblCellMar>
        </w:tblPrEx>
        <w:trPr>
          <w:trHeight w:val="300" w:hRule="atLeast"/>
        </w:trPr>
        <w:tc>
          <w:tcPr>
            <w:tcW w:w="896" w:type="pct"/>
            <w:tcBorders>
              <w:top w:val="single" w:color="000000" w:sz="8" w:space="0"/>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72</w:t>
            </w:r>
          </w:p>
        </w:tc>
        <w:tc>
          <w:tcPr>
            <w:tcW w:w="1824" w:type="pct"/>
            <w:tcBorders>
              <w:top w:val="single" w:color="000000" w:sz="8" w:space="0"/>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四川华信（集团）</w:t>
            </w:r>
          </w:p>
        </w:tc>
        <w:tc>
          <w:tcPr>
            <w:tcW w:w="1380" w:type="pct"/>
            <w:tcBorders>
              <w:top w:val="single" w:color="000000" w:sz="8" w:space="0"/>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single" w:color="000000" w:sz="8" w:space="0"/>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四川</w:t>
            </w:r>
          </w:p>
        </w:tc>
      </w:tr>
      <w:tr>
        <w:tblPrEx>
          <w:tblCellMar>
            <w:top w:w="0" w:type="dxa"/>
            <w:left w:w="108" w:type="dxa"/>
            <w:bottom w:w="0" w:type="dxa"/>
            <w:right w:w="108" w:type="dxa"/>
          </w:tblCellMar>
        </w:tblPrEx>
        <w:trPr>
          <w:trHeight w:val="300" w:hRule="atLeast"/>
        </w:trPr>
        <w:tc>
          <w:tcPr>
            <w:tcW w:w="896" w:type="pct"/>
            <w:tcBorders>
              <w:top w:val="single" w:color="000000" w:sz="8" w:space="0"/>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73</w:t>
            </w:r>
          </w:p>
        </w:tc>
        <w:tc>
          <w:tcPr>
            <w:tcW w:w="1824" w:type="pct"/>
            <w:tcBorders>
              <w:top w:val="single" w:color="000000" w:sz="8" w:space="0"/>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苏亚金诚</w:t>
            </w:r>
          </w:p>
        </w:tc>
        <w:tc>
          <w:tcPr>
            <w:tcW w:w="1380" w:type="pct"/>
            <w:tcBorders>
              <w:top w:val="single" w:color="000000" w:sz="8" w:space="0"/>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single" w:color="000000" w:sz="8" w:space="0"/>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江苏</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74</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唐山市新正</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河北</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75</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天衡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江苏</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76</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天健</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浙江</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77</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天津丞明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天津</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78</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天圆全</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79</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天职国际</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80</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希格玛</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陕西</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81</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新联谊</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山东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82</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信永中和</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83</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亚太（集团）</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84</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永拓</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85</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尤尼泰振青</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山东</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86</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浙江科信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浙江</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87</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浙江天平</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浙江</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88</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浙江至诚</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浙江</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89</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致同</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90</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中汇</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浙江</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91</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中京国瑞（武汉）</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湖北</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92</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中勤万信</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93</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中瑞诚</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94</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中审华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天津</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95</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中审亚太</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96</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中审众环</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湖北</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97</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中天运</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98</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中喜</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99</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中兴财光华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100</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中兴华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101</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中证天通</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102</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中准</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北京</w:t>
            </w:r>
          </w:p>
        </w:tc>
      </w:tr>
      <w:tr>
        <w:tblPrEx>
          <w:tblCellMar>
            <w:top w:w="0" w:type="dxa"/>
            <w:left w:w="108" w:type="dxa"/>
            <w:bottom w:w="0" w:type="dxa"/>
            <w:right w:w="108" w:type="dxa"/>
          </w:tblCellMar>
        </w:tblPrEx>
        <w:trPr>
          <w:trHeight w:val="300" w:hRule="atLeast"/>
        </w:trPr>
        <w:tc>
          <w:tcPr>
            <w:tcW w:w="896" w:type="pct"/>
            <w:tcBorders>
              <w:top w:val="nil"/>
              <w:left w:val="single" w:color="000000" w:sz="8" w:space="0"/>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103</w:t>
            </w:r>
          </w:p>
        </w:tc>
        <w:tc>
          <w:tcPr>
            <w:tcW w:w="1824"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众华</w:t>
            </w:r>
          </w:p>
        </w:tc>
        <w:tc>
          <w:tcPr>
            <w:tcW w:w="1380"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特殊普通合伙</w:t>
            </w:r>
          </w:p>
        </w:tc>
        <w:tc>
          <w:tcPr>
            <w:tcW w:w="898" w:type="pct"/>
            <w:tcBorders>
              <w:top w:val="nil"/>
              <w:left w:val="nil"/>
              <w:bottom w:val="single" w:color="000000" w:sz="8" w:space="0"/>
              <w:right w:val="single" w:color="000000" w:sz="8" w:space="0"/>
            </w:tcBorders>
            <w:noWrap/>
            <w:vAlign w:val="center"/>
          </w:tcPr>
          <w:p>
            <w:pPr>
              <w:widowControl/>
              <w:jc w:val="center"/>
              <w:textAlignment w:val="center"/>
              <w:rPr>
                <w:rFonts w:hint="eastAsia" w:ascii="仿宋" w:hAnsi="仿宋" w:eastAsia="仿宋" w:cs="仿宋_GB2312"/>
                <w:color w:val="000000"/>
                <w:sz w:val="24"/>
              </w:rPr>
            </w:pPr>
            <w:r>
              <w:rPr>
                <w:rFonts w:hint="eastAsia" w:ascii="仿宋" w:hAnsi="仿宋" w:eastAsia="仿宋" w:cs="仿宋_GB2312"/>
                <w:color w:val="000000"/>
                <w:kern w:val="0"/>
                <w:sz w:val="24"/>
                <w:lang w:bidi="ar"/>
              </w:rPr>
              <w:t>上海</w:t>
            </w:r>
          </w:p>
        </w:tc>
      </w:tr>
    </w:tbl>
    <w:p>
      <w:pPr>
        <w:jc w:val="left"/>
        <w:rPr>
          <w:rFonts w:hint="eastAsia" w:ascii="仿宋" w:hAnsi="仿宋" w:eastAsia="仿宋" w:cs="仿宋_GB2312"/>
          <w:sz w:val="24"/>
        </w:rPr>
      </w:pPr>
      <w:r>
        <w:rPr>
          <w:rFonts w:hint="eastAsia" w:ascii="仿宋" w:hAnsi="仿宋" w:eastAsia="仿宋" w:cs="仿宋_GB2312"/>
          <w:sz w:val="24"/>
        </w:rPr>
        <w:t>注：按会计师事务所首字母排序，排名不分先后。</w:t>
      </w:r>
    </w:p>
    <w:p>
      <w:pPr>
        <w:adjustRightInd w:val="0"/>
        <w:snapToGrid w:val="0"/>
        <w:spacing w:line="312" w:lineRule="auto"/>
        <w:ind w:firstLine="420" w:firstLineChars="200"/>
        <w:jc w:val="left"/>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