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90" w:name="_Toc27346"/>
      <w:r>
        <w:rPr>
          <w:rFonts w:hint="eastAsia"/>
        </w:rPr>
        <w:t>8</w:t>
      </w:r>
      <w:r>
        <w:t>45--</w:t>
      </w:r>
      <w:r>
        <w:rPr>
          <w:rFonts w:hint="eastAsia"/>
        </w:rPr>
        <w:t>中国银保监会关于规范信托公司信托业务分类的通知</w:t>
      </w:r>
      <w:r>
        <w:br w:type="textWrapping"/>
      </w:r>
      <w:r>
        <w:rPr>
          <w:rFonts w:hint="eastAsia"/>
        </w:rPr>
        <w:t>银保监规〔</w:t>
      </w:r>
      <w:r>
        <w:t>2023〕1号</w:t>
      </w:r>
      <w:bookmarkEnd w:id="2590"/>
    </w:p>
    <w:p>
      <w:pPr>
        <w:adjustRightInd w:val="0"/>
        <w:snapToGrid w:val="0"/>
        <w:spacing w:line="312" w:lineRule="auto"/>
        <w:rPr>
          <w:rFonts w:hint="eastAsia" w:ascii="仿宋" w:hAnsi="仿宋" w:eastAsia="仿宋"/>
        </w:rPr>
      </w:pPr>
      <w:r>
        <w:rPr>
          <w:rFonts w:hint="eastAsia" w:ascii="仿宋" w:hAnsi="仿宋" w:eastAsia="仿宋"/>
        </w:rPr>
        <w:t>各银保监局，各信托公司，信托保障基金公司、信托登记公司、信托业协会：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为促进信托业务回归本源、规范发展，切实防范风险，更高效服务实体经济发展和满足人民美好生活需要，现就规范信托公司信托业务分类有关事项通知如下：</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进一步厘清信托业务边界和服务内涵，引导信托公司以规范方式发挥制度优势和行业竞争优势，推动信托业走高质量发展之路，助力全面建设社会主义现代化国家。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（一）回归信托本源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信托公司从事信托业务应当立足受托人定位，遵循法律法规和监管要求，确保信托目的合法合规，为受益人的最大利益处理信托事务，履行诚实守信、勤勉尽责的受托责任。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（二）明确分类标准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信托服务实质是根据委托人要求，为受益人利益而对信托财产进行各种方式的管理、处分。信托业务分类应当根据信托服务实质，明确各类业务职责边界，避免相互交叉。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（三）引导差异发展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按照服务内容的具体差异，对信托业务进行细分，突出能够发挥信托制度优势的业务品种，鼓励差异化发展，构建多元化信托服务体系。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（四）保持标准统一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明确资产服务、资产管理、公益慈善等各类信托业务功能，在各类业务服务内涵等方面与国际接轨。资产管理业务监管标准对标《关于规范金融机构资产管理业务的指导意见》（银发〔</w:t>
      </w:r>
      <w:r>
        <w:rPr>
          <w:rFonts w:ascii="仿宋" w:hAnsi="仿宋" w:eastAsia="仿宋"/>
        </w:rPr>
        <w:t>2018〕106号，以下简称《指导意见》），与国内同业保持一致。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（五）严格合规管理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严防利用信托机制灵活性变相开展违规业务。信托公司要在穿透基础上，按“实质重于形式”原则对信托业务进行分类。</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二、明确信托业务分类标准和要求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信托公司应当以信托目的、信托成立方式、信托财产管理内容为分类维度，将信托业务分为资产服务信托、资产管理信托、公益慈善信托三大类共</w:t>
      </w:r>
      <w:r>
        <w:rPr>
          <w:rFonts w:ascii="仿宋" w:hAnsi="仿宋" w:eastAsia="仿宋"/>
        </w:rPr>
        <w:t>25个业务品种（具体分类要求见附件）。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（一）资产服务信托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资产服务信托是指信托公司依据信托法律关系，接受委托人委托，并根据委托人需求为其量身定制财富规划以及代际传承、托管、破产隔离和风险处置等专业信托服务。按照服务内容和特点，分为财富管理服务信托、行政管理服务信托、资产证券化服务信托、风险处置服务信托及新型资产服务信托五类、共</w:t>
      </w:r>
      <w:r>
        <w:rPr>
          <w:rFonts w:ascii="仿宋" w:hAnsi="仿宋" w:eastAsia="仿宋"/>
        </w:rPr>
        <w:t>19个业务品种。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（二）资产管理信托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资产管理信托是信托公司依据信托法律关系，销售信托产品，并为信托产品投资者提供投资和管理金融服务的自益信托，属于私募资产管理业务，适用《指导意见》。信托公司应当通过非公开发行集合资金信托计划（以下简称信托计划）募集资金，并按照信托文件约定的投资方式和比例，对受托资金进行投资管理。信托计划投资者需符合合格投资者标准，在信托设立时既是委托人、也是受益人。资产管理信托依据《指导意见》规定，分为固定收益类信托计划、权益类信托计划、商品及金融衍生品类信托计划和混合类信托计划共</w:t>
      </w:r>
      <w:r>
        <w:rPr>
          <w:rFonts w:ascii="仿宋" w:hAnsi="仿宋" w:eastAsia="仿宋"/>
        </w:rPr>
        <w:t>4个业务品种。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（三）公益慈善信托</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公益慈善信托是委托人基于公共利益目的，依法将其财产委托给信托公司，由信托公司按照委托人意愿以信托公司名义进行管理和处分，开展公益慈善活动的信托业务。公益慈善信托的信托财产及其收益，不得用于非公益目的。公益慈善信托按照信托目的，分为慈善信托和其他公益信托共</w:t>
      </w:r>
      <w:r>
        <w:rPr>
          <w:rFonts w:ascii="仿宋" w:hAnsi="仿宋" w:eastAsia="仿宋"/>
        </w:rPr>
        <w:t>2个业务品种。</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三、落实信托公司主体责任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应当完善内部管理机制，做好业务分类工作，准确划分各类信托业务，并在此基础上明确发展战略和转型方向，增强受托服务意识和专业服务能力，以发挥信托独特功能、实现良好社会价值为导向，积极探索开展资产服务信托和公益慈善信托业务，规范开展符合信托本源特征、丰富直接融资方式的资产管理信托业务，提高竞争力和社会声誉，在有效防控风险的基础上实现高质量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（一）明确业务边界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应当严格把握信托业务边界，不得以管理契约型私募基金形式开展资产管理信托业务，不得以信托业务形式开展为融资方服务的私募投行业务，不得以任何形式开展通道业务和资金池业务，不得以任何形式承诺信托财产不受损失或承诺最低收益，坚决压降影子银行风险突出的融资类信托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（二）提高分类质量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应当按照本通知要求完善内部管理制度，结合监管要求和公司业务特点，细化分类标准，根据信托服务实质对信托业务进行全面、准确分类。信托公司不得擅自调节信托业务分类，同一信托业务不得同时归入多个类别。确有拟开展的新型信托业务无法归入现有类别的，应当与属地银保监会派出机构沟通，按照服务实质明确业务分类归属后开展。信托公司应当组织信托业务分类专题培训，确保相关人员熟知信托业务分类标准并准确分类，按照监管要求填报相关监管报表，确保报送数据准确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（三）完善内控机制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应当将信托业务分类纳入内部控制体系，明确归口管理部门以及业务部门、合规管理部门、内部审计部门等职责，完善信息系统，为做好信托业务分类提供必要的资源和保障。信托公司应当建立信托业务分类定期监测排查机制，加强合规管理和数据核验，确保信托业务持续符合分类标准和监管要求。信托公司应当建立追责问责机制，对重大差错予以严肃问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（四）有序实施整改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为有序实施存量业务整改，确保平稳过渡，本通知设置</w:t>
      </w:r>
      <w:r>
        <w:rPr>
          <w:rFonts w:ascii="仿宋" w:hAnsi="仿宋" w:eastAsia="仿宋"/>
        </w:rPr>
        <w:t>3年过渡期。过渡期结束后存在实际困难，仍难以完成整改的，可实施个案处理。对于契约型私募基金业务，按照严禁新增、存量自然到期方式有序清零。对于其他不符合本通知要求的信托业务，单设“待整改业务”一项，有序实施整改。信托公司应当在准确分类基础上充分识别待整改业务，制定整改计划，明确时间进度安排，待整改业务规模应当严格控制在2022年12月31日存量整体规模内并有序压缩递减，防止过渡期结束时出现断崖效应。已纳入资管新规过渡期结束后个案处理范围的信托业务，应当纳入待整改</w:t>
      </w:r>
      <w:r>
        <w:rPr>
          <w:rFonts w:hint="eastAsia" w:ascii="仿宋" w:hAnsi="仿宋" w:eastAsia="仿宋"/>
        </w:rPr>
        <w:t>业务，按照资管新规有关要求及前期已报送的整改计划继续整改。</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四、加强监管引领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（一）完善监管规则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根据信托业务发展情况，制定完善各类信托业务具体监管规则，研究完善信托公司分级分类监管制度，持续完善资本管理、信托保障基金筹集、信托产品登记等配套机制，修订非现场监管报表，保障信托业务分类工作有序落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（二）加强日常监管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应当督促指导辖内信托公司按照本通知要求完善内部管理机制，对存量信托业务准确分类、有序整改。各银保监局应当通过非现场监管和现场检查等方式，对信托业务分类准确性及展业合规性实施持续监管，防止监管套利。各银保监局应当提高监管主动性和前瞻性，及时、准确发现违规问题并采取有针对性的纠正措施，责成信托公司限期整改，逾期未整改的，应当依法采取暂停业务等审慎监管措施，并要求信托公司严肃处理责任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（三）加强宣传引导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应当指导辖内信托公司加强金融消费者教育，引导金融消费者正确认识信托关系实质和信托业务风险特征，树立信托产品打破刚性兑付的风险意识。信托业协会应当加强宣传引导，组织信托公司自觉落实相关要求，普及信托相关知识，提高社会各界对各类信托业务的认知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本通知自</w:t>
      </w:r>
      <w:r>
        <w:rPr>
          <w:rFonts w:ascii="仿宋" w:hAnsi="仿宋" w:eastAsia="仿宋"/>
        </w:rPr>
        <w:t>2023年6月1日起实施。本通知实施前公布的规范性文件与本通知规定不一致的，以本通知为准。各信托公司应当于本通知实施后30日内将存续信托业务分类结果和整改计划报送属地银保监会派出机构。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1.信托公司信托业务具体分类要求</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2.信托公司信托业务新分类简表</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2023年3月20日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（此件发至辖内有信托公司的银保监分局和各信托公司）</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附件</w:t>
      </w:r>
      <w:r>
        <w:rPr>
          <w:rFonts w:ascii="仿宋" w:hAnsi="仿宋" w:eastAsia="仿宋"/>
        </w:rPr>
        <w:t>1</w:t>
      </w:r>
    </w:p>
    <w:p>
      <w:pPr>
        <w:adjustRightInd w:val="0"/>
        <w:snapToGrid w:val="0"/>
        <w:spacing w:line="312" w:lineRule="auto"/>
        <w:jc w:val="center"/>
        <w:rPr>
          <w:rFonts w:hint="eastAsia" w:ascii="仿宋" w:hAnsi="仿宋" w:eastAsia="仿宋"/>
          <w:b/>
          <w:bCs/>
        </w:rPr>
      </w:pPr>
      <w:r>
        <w:rPr>
          <w:rFonts w:hint="eastAsia" w:ascii="仿宋" w:hAnsi="仿宋" w:eastAsia="仿宋"/>
          <w:b/>
          <w:bCs/>
        </w:rPr>
        <w:t>信托公司信托业务具体分类要求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一、资产服务信托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资产服务信托是为委托人量身定制的受托服务，不涉及向投资者募集资金的行为，不适用规范资产管理业务的《关于规范金融机构资产管理业务的指导意见》（银发〔</w:t>
      </w:r>
      <w:r>
        <w:rPr>
          <w:rFonts w:ascii="仿宋" w:hAnsi="仿宋" w:eastAsia="仿宋"/>
        </w:rPr>
        <w:t>2018〕106号，以下简称《指导意见》）。信托公司开展资产服务信托业务，应确保信托目的合法合规，提供具有实质内容的受托服务，不得通过财产权信托受益权拆分转让等方式为委托人募集资金（依据金融监管部门规定开展的资产证券化业务除外），原则上不得以受托资金发放信托贷款。信托公司确实基于委托人合法信托目的受托发放贷款的，应当参照《商业银行委托贷款管理办法》（银监发〔2018〕2号，以下简称《委托贷款办法》）进行审查和管理，其信托受益权转让时，受益人资质和资金来源应当持续符合《委托贷款办法》要求。资产服务信托按照服务内容和特点分为财富管理服务信托、行政管理服务信托、资产证券化服务信托、风险处置服务信托和新型资产服务信托五类、共19个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（一）财富管理服务信托。信托公司为自然人、法人及非法人组织财富管理提供的信托服务，按照服务内容及对象分为</w:t>
      </w:r>
      <w:r>
        <w:rPr>
          <w:rFonts w:ascii="仿宋" w:hAnsi="仿宋" w:eastAsia="仿宋"/>
        </w:rPr>
        <w:t>7个业务品种：</w:t>
      </w:r>
    </w:p>
    <w:p>
      <w:pPr>
        <w:adjustRightInd w:val="0"/>
        <w:snapToGrid w:val="0"/>
        <w:spacing w:line="312" w:lineRule="auto"/>
        <w:ind w:firstLine="420" w:firstLineChars="200"/>
        <w:rPr>
          <w:rFonts w:hint="eastAsia" w:ascii="仿宋" w:hAnsi="仿宋" w:eastAsia="仿宋"/>
        </w:rPr>
      </w:pPr>
      <w:r>
        <w:rPr>
          <w:rFonts w:ascii="仿宋" w:hAnsi="仿宋" w:eastAsia="仿宋"/>
        </w:rPr>
        <w:t>1.家族信托。信托公司接受单一自然人委托，或者接受单一自然人及其亲属共同委托，以家庭财富的保护、传承和管理为主要信托目的，提供财产规划、风险隔离、资产配置、子女教育、家族治理、公益慈善事业等定制化事务管理和金融服务。家族信托初始设立时实收信托应当不低于1000万元。受益人应当为委托人或者其亲属，但委托人不得为唯一受益人。家族信托涉及公益慈善安排的，受益人可以包括公益慈善信托或者慈善组织。单纯以追求信托财产保值增值为主要信托目的、具有专户理财性质的信托业务不属于家族信托。</w:t>
      </w:r>
    </w:p>
    <w:p>
      <w:pPr>
        <w:adjustRightInd w:val="0"/>
        <w:snapToGrid w:val="0"/>
        <w:spacing w:line="312" w:lineRule="auto"/>
        <w:ind w:firstLine="420" w:firstLineChars="200"/>
        <w:rPr>
          <w:rFonts w:hint="eastAsia" w:ascii="仿宋" w:hAnsi="仿宋" w:eastAsia="仿宋"/>
        </w:rPr>
      </w:pPr>
      <w:r>
        <w:rPr>
          <w:rFonts w:ascii="仿宋" w:hAnsi="仿宋" w:eastAsia="仿宋"/>
        </w:rPr>
        <w:t>2.家庭服务信托。由符合相关条件的信托公司作为受托人，接受单一自然人委托，或者接受单一自然人及其家庭成员共同委托，提供风险隔离、财富保护和分配等服务。家庭服务信托初始设立时实收信托应当不低于100万元,期限不低于5年，投资范围限于以同业存款、标准化债权类资产和上市交易股票为最终投资标的的信托计划、银行理财产品以及其他公募资产管理产品。</w:t>
      </w:r>
    </w:p>
    <w:p>
      <w:pPr>
        <w:adjustRightInd w:val="0"/>
        <w:snapToGrid w:val="0"/>
        <w:spacing w:line="312" w:lineRule="auto"/>
        <w:ind w:firstLine="420" w:firstLineChars="200"/>
        <w:rPr>
          <w:rFonts w:hint="eastAsia" w:ascii="仿宋" w:hAnsi="仿宋" w:eastAsia="仿宋"/>
        </w:rPr>
      </w:pPr>
      <w:r>
        <w:rPr>
          <w:rFonts w:ascii="仿宋" w:hAnsi="仿宋" w:eastAsia="仿宋"/>
        </w:rPr>
        <w:t>3.保险金信托。信托公司接受单一自然人委托，或者接受单一自然人及其家庭成员共同委托，以人身保险合同的相关权利和对应利益以及后续支付保费所需资金作为信托财产设立信托。当保险合同约定的给付条件发生时，保险公司按照保险约定将对应资金划付至对应信托专户，由信托公司按照信托文件管理。</w:t>
      </w:r>
    </w:p>
    <w:p>
      <w:pPr>
        <w:adjustRightInd w:val="0"/>
        <w:snapToGrid w:val="0"/>
        <w:spacing w:line="312" w:lineRule="auto"/>
        <w:ind w:firstLine="420" w:firstLineChars="200"/>
        <w:rPr>
          <w:rFonts w:hint="eastAsia" w:ascii="仿宋" w:hAnsi="仿宋" w:eastAsia="仿宋"/>
        </w:rPr>
      </w:pPr>
      <w:r>
        <w:rPr>
          <w:rFonts w:ascii="仿宋" w:hAnsi="仿宋" w:eastAsia="仿宋"/>
        </w:rPr>
        <w:t>4.特殊需要信托。信托公司接受单一自然人委托，或者接受单一自然人及其亲属共同委托，以满足和服务特定受益人的生活需求为主要信托目的，管理处分信托财产。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5.遗嘱信托。单一委托人（立遗嘱人）为实现对遗产的计划，以预先在遗嘱中设立信托条款的方式，在遗嘱及相关信托文件中明确遗产的管理规划，包括遗产的管理、分配、运用及给付等，并于遗嘱生效后，由信托公司依据遗嘱中信托条款的内容，管理处分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6.其他个人财富管理信托。信托公司作为受托人，接受单一自然人委托，提供财产保护和管理服务。委托人应当以其合法所有的财产设立财富管理信托，不得非法汇集他人财产设立财富管理信托。其他个人财富管理信托的信托受益权不得拆分转让。其他个人财富管理信托初始设立时实收信托应当不低于600万元。</w:t>
      </w:r>
    </w:p>
    <w:p>
      <w:pPr>
        <w:adjustRightInd w:val="0"/>
        <w:snapToGrid w:val="0"/>
        <w:spacing w:line="312" w:lineRule="auto"/>
        <w:ind w:firstLine="420" w:firstLineChars="200"/>
        <w:rPr>
          <w:rFonts w:hint="eastAsia" w:ascii="仿宋" w:hAnsi="仿宋" w:eastAsia="仿宋"/>
        </w:rPr>
      </w:pPr>
      <w:r>
        <w:rPr>
          <w:rFonts w:ascii="仿宋" w:hAnsi="仿宋" w:eastAsia="仿宋"/>
        </w:rPr>
        <w:t>7.法人及非法人组织财富管理信托。信托公司作为受托人，接受单一法人或非法人组织委托，提供综合财务规划、特定资产管理、薪酬福利管理等信托服务。除以薪酬福利管理为信托目的外，法人及非法人组织财富管理信托应当为自益信托。法人及非法人组织财富管理信托受益权不得拆分转让。法人及非法人组织财富管理信托委托人交付的财产价值不低于1000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或非法人组织应当以合法所有的财产设立财富管理信托。单个资产管理产品管理人以资产管理产品资金委托信托公司提供专户受托服务，仅限于配置银行存款、标准化债权类资产、上市公司股票、公募证券投资基金以及符合信托监管规定的衍生品。信托公司为资产管理产品管理人提供的受托服务不得与《指导意见》相冲突。信托公司可以依据人力资源社会保障部门关于年金基金管理的规定，为年金基金提供专户受托服务。除上述情形外，委托人不得以资产管理产品财产、资产服务信托财产或者以其他方式汇集他人财产设立财富管理信托，也不得通过向资产管理产品直接或间接转让财富管理信托受益权等方式帮助资产管理产品管理人以资产管理产品财产变相设立财富管理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行政管理服务信托。信托公司作为独立第三方提供运营托管、账户管理、交易执行、份额登记、会计估值、资金清算、风险管理、执行监督、信息披露等行政管理服务的信托业务。按照信托财产和服务类型分为</w:t>
      </w:r>
      <w:r>
        <w:rPr>
          <w:rFonts w:ascii="仿宋" w:hAnsi="仿宋" w:eastAsia="仿宋"/>
        </w:rPr>
        <w:t>5个业务品种：</w:t>
      </w:r>
    </w:p>
    <w:p>
      <w:pPr>
        <w:adjustRightInd w:val="0"/>
        <w:snapToGrid w:val="0"/>
        <w:spacing w:line="312" w:lineRule="auto"/>
        <w:ind w:firstLine="420" w:firstLineChars="200"/>
        <w:rPr>
          <w:rFonts w:hint="eastAsia" w:ascii="仿宋" w:hAnsi="仿宋" w:eastAsia="仿宋"/>
        </w:rPr>
      </w:pPr>
      <w:r>
        <w:rPr>
          <w:rFonts w:ascii="仿宋" w:hAnsi="仿宋" w:eastAsia="仿宋"/>
        </w:rPr>
        <w:t>1.预付类资金服务信托。信托公司提供预付类资金的信托财产保管、权益登记、支付结算、执行监督、信息披露、清算分配等行政管理服务，帮助委托人实现预付类资金财产独立、风险隔离、资金安全的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2.资管产品服务信托。信托公司接受资管产品管理人委托，为单个资管产品提供运营托管、账户管理、交易执行、份额登记、会计估值、资金清算、风险管理、执行监督、信息披露等行政管理服务，不参与资管产品资金筹集、投资建议、投资决策、投资合作机构遴选等资产管理活动。资管产品服务信托为资管产品提供行政管理服务，不得与《指导意见》相冲突。</w:t>
      </w:r>
    </w:p>
    <w:p>
      <w:pPr>
        <w:adjustRightInd w:val="0"/>
        <w:snapToGrid w:val="0"/>
        <w:spacing w:line="312" w:lineRule="auto"/>
        <w:ind w:firstLine="420" w:firstLineChars="200"/>
        <w:rPr>
          <w:rFonts w:hint="eastAsia" w:ascii="仿宋" w:hAnsi="仿宋" w:eastAsia="仿宋"/>
        </w:rPr>
      </w:pPr>
      <w:r>
        <w:rPr>
          <w:rFonts w:ascii="仿宋" w:hAnsi="仿宋" w:eastAsia="仿宋"/>
        </w:rPr>
        <w:t>3.担保品服务信托。信托公司代表债权人利益，受托管理担保物权，提供担保物集中管理和处置、担保权利集中行使等服务。</w:t>
      </w:r>
    </w:p>
    <w:p>
      <w:pPr>
        <w:adjustRightInd w:val="0"/>
        <w:snapToGrid w:val="0"/>
        <w:spacing w:line="312" w:lineRule="auto"/>
        <w:ind w:firstLine="420" w:firstLineChars="200"/>
        <w:rPr>
          <w:rFonts w:hint="eastAsia" w:ascii="仿宋" w:hAnsi="仿宋" w:eastAsia="仿宋"/>
        </w:rPr>
      </w:pPr>
      <w:r>
        <w:rPr>
          <w:rFonts w:ascii="仿宋" w:hAnsi="仿宋" w:eastAsia="仿宋"/>
        </w:rPr>
        <w:t>4.企业（职业）年金服务信托。信托公司依据人力资源社会保障部门有关规定，受托管理企业（职业）年金基金。</w:t>
      </w:r>
    </w:p>
    <w:p>
      <w:pPr>
        <w:adjustRightInd w:val="0"/>
        <w:snapToGrid w:val="0"/>
        <w:spacing w:line="312" w:lineRule="auto"/>
        <w:ind w:firstLine="420" w:firstLineChars="200"/>
        <w:rPr>
          <w:rFonts w:hint="eastAsia" w:ascii="仿宋" w:hAnsi="仿宋" w:eastAsia="仿宋"/>
        </w:rPr>
      </w:pPr>
      <w:r>
        <w:rPr>
          <w:rFonts w:ascii="仿宋" w:hAnsi="仿宋" w:eastAsia="仿宋"/>
        </w:rPr>
        <w:t>5.其他行政管理服务信托。信托公司作为受托人管理其他特定资产，提供财产保管、执行监督、清算分配、信息披露等行政管理服务。涉及以财产权信托受益权转让、发行等方式变相为委托人融资的信托业务，不属于行政管理服务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（三）资产证券化服务信托。信托公司作为受托人，以资产证券化基础资产设立特定目的载体，为依据金融监管部门有关规定开展的资产证券化业务提供基础资产受托服务。按照基础资产类型和服务对象分为</w:t>
      </w:r>
      <w:r>
        <w:rPr>
          <w:rFonts w:ascii="仿宋" w:hAnsi="仿宋" w:eastAsia="仿宋"/>
        </w:rPr>
        <w:t>4个业务品种：</w:t>
      </w:r>
    </w:p>
    <w:p>
      <w:pPr>
        <w:adjustRightInd w:val="0"/>
        <w:snapToGrid w:val="0"/>
        <w:spacing w:line="312" w:lineRule="auto"/>
        <w:ind w:firstLine="420" w:firstLineChars="200"/>
        <w:rPr>
          <w:rFonts w:hint="eastAsia" w:ascii="仿宋" w:hAnsi="仿宋" w:eastAsia="仿宋"/>
        </w:rPr>
      </w:pPr>
      <w:r>
        <w:rPr>
          <w:rFonts w:ascii="仿宋" w:hAnsi="仿宋" w:eastAsia="仿宋"/>
        </w:rPr>
        <w:t>1.信贷资产证券化服务信托。信托公司作为受托人，为按照《信贷资产证券化试点管理办法》（中国人民银行中国银行业监督管理委员会公告〔2005〕第7号）开展的信贷资产证券化业务提供基础资产受托服务。</w:t>
      </w:r>
    </w:p>
    <w:p>
      <w:pPr>
        <w:adjustRightInd w:val="0"/>
        <w:snapToGrid w:val="0"/>
        <w:spacing w:line="312" w:lineRule="auto"/>
        <w:ind w:firstLine="420" w:firstLineChars="200"/>
        <w:rPr>
          <w:rFonts w:hint="eastAsia" w:ascii="仿宋" w:hAnsi="仿宋" w:eastAsia="仿宋"/>
        </w:rPr>
      </w:pPr>
      <w:r>
        <w:rPr>
          <w:rFonts w:ascii="仿宋" w:hAnsi="仿宋" w:eastAsia="仿宋"/>
        </w:rPr>
        <w:t>2.企业资产证券化服务信托。信托公司作为受托人，为按照《证券公司及基金管理公司子公司资产证券化业务管理规定》（证监会公告〔2014〕49号）开展的企业资产证券化业务提供基础资产受托服务。</w:t>
      </w:r>
    </w:p>
    <w:p>
      <w:pPr>
        <w:adjustRightInd w:val="0"/>
        <w:snapToGrid w:val="0"/>
        <w:spacing w:line="312" w:lineRule="auto"/>
        <w:ind w:firstLine="420" w:firstLineChars="200"/>
        <w:rPr>
          <w:rFonts w:hint="eastAsia" w:ascii="仿宋" w:hAnsi="仿宋" w:eastAsia="仿宋"/>
        </w:rPr>
      </w:pPr>
      <w:r>
        <w:rPr>
          <w:rFonts w:ascii="仿宋" w:hAnsi="仿宋" w:eastAsia="仿宋"/>
        </w:rPr>
        <w:t>3.非金融企业资产支持票据服务信托。信托公司作为受托人，为按照《银行间债券市场非金融企业资产支持票据指引》（中国银行间市场交易商协会公告〔2012〕14号）开展的非金融企业资产支持票据业务提供基础资产受托服务。</w:t>
      </w:r>
    </w:p>
    <w:p>
      <w:pPr>
        <w:adjustRightInd w:val="0"/>
        <w:snapToGrid w:val="0"/>
        <w:spacing w:line="312" w:lineRule="auto"/>
        <w:ind w:firstLine="420" w:firstLineChars="200"/>
        <w:rPr>
          <w:rFonts w:hint="eastAsia" w:ascii="仿宋" w:hAnsi="仿宋" w:eastAsia="仿宋"/>
        </w:rPr>
      </w:pPr>
      <w:r>
        <w:rPr>
          <w:rFonts w:ascii="仿宋" w:hAnsi="仿宋" w:eastAsia="仿宋"/>
        </w:rPr>
        <w:t>4.其他资产证券化服务信托。信托公司作为受托人，为其他依据金融监管部门有关规定开展的资产证券化业务提供受托服务。</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（四）风险处置服务信托。信托公司作为受托人，为企业风险处置提供受托服务，设立以向债权人偿债为目的的信托，提高风险处置效率。按照风险处置方式分为2个业务品种：</w:t>
      </w:r>
    </w:p>
    <w:p>
      <w:pPr>
        <w:adjustRightInd w:val="0"/>
        <w:snapToGrid w:val="0"/>
        <w:spacing w:line="312" w:lineRule="auto"/>
        <w:ind w:firstLine="420" w:firstLineChars="200"/>
        <w:rPr>
          <w:rFonts w:hint="eastAsia" w:ascii="仿宋" w:hAnsi="仿宋" w:eastAsia="仿宋"/>
        </w:rPr>
      </w:pPr>
      <w:r>
        <w:rPr>
          <w:rFonts w:ascii="仿宋" w:hAnsi="仿宋" w:eastAsia="仿宋"/>
        </w:rPr>
        <w:t>1.企业市场化重组服务信托。信托公司作为受托人，为面临债务危机、拟进行债务重组或股权重组的企业风险处置提供受托服务，设立以向企业债权人偿债为目的的信托。</w:t>
      </w:r>
    </w:p>
    <w:p>
      <w:pPr>
        <w:adjustRightInd w:val="0"/>
        <w:snapToGrid w:val="0"/>
        <w:spacing w:line="312" w:lineRule="auto"/>
        <w:ind w:firstLine="420" w:firstLineChars="200"/>
        <w:rPr>
          <w:rFonts w:hint="eastAsia" w:ascii="仿宋" w:hAnsi="仿宋" w:eastAsia="仿宋"/>
        </w:rPr>
      </w:pPr>
      <w:r>
        <w:rPr>
          <w:rFonts w:ascii="仿宋" w:hAnsi="仿宋" w:eastAsia="仿宋"/>
        </w:rPr>
        <w:t>2.企业破产服务信托。信托公司作为受托人，为依照《中华人民共和国企业破产法》实施破产重整、和解或者清算的企业风险处置提供受托服务，设立以向企业债权人偿债为目的的信托。</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（五）新型资产服务信托。信托公司经监管部门认可，依据信托法律关系开展的新型资产服务信托业务。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二、资产管理信托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托公司设立发行、运营管理、终止清算集合资金信托计划（以下简称信托计划），均需符合《指导意见》相关规定，强化投资者适当性管理，按照审慎经营、诚实守信、勤勉尽责原则履行受托管理职责，加强信用风险、市场风险、流动性风险和操作风险管理，有效防控期限错配风险和投资集中度风险，实行净值化管理，加强信息披露，坚持打破刚兑，在卖者尽责基础上实现买者自负，主动防控影子银行风险。按投资性质不同分为固定收益类信托计划、权益类信托计划、商品及金融衍生品类信托计划、混合类信托计划共</w:t>
      </w:r>
      <w:r>
        <w:rPr>
          <w:rFonts w:ascii="仿宋" w:hAnsi="仿宋" w:eastAsia="仿宋"/>
        </w:rPr>
        <w:t>4个业务品种：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（一）固定收益类信托计划。投资于存款、债券等债权类资产的比例不低于</w:t>
      </w:r>
      <w:r>
        <w:rPr>
          <w:rFonts w:ascii="仿宋" w:hAnsi="仿宋" w:eastAsia="仿宋"/>
        </w:rPr>
        <w:t>80%的信托计划。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（二）权益类信托计划。投资于股票、未上市企业股权等权益类资产的比例不低于</w:t>
      </w:r>
      <w:r>
        <w:rPr>
          <w:rFonts w:ascii="仿宋" w:hAnsi="仿宋" w:eastAsia="仿宋"/>
        </w:rPr>
        <w:t>80%的信托计划。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（三）商品及金融衍生品类信托计划。投资于商品及金融衍生品的比例不低于</w:t>
      </w:r>
      <w:r>
        <w:rPr>
          <w:rFonts w:ascii="仿宋" w:hAnsi="仿宋" w:eastAsia="仿宋"/>
        </w:rPr>
        <w:t>80%的信托计划。</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（四）混合类信托计划。投资于债权类资产、权益类资产、商品及金融衍生品类资产且任一资产的投资比例未达到前三类产品标准的信托计划。</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三、公益慈善信托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公益慈善信托按照信托目的分为慈善信托和其他公益信托共</w:t>
      </w:r>
      <w:r>
        <w:rPr>
          <w:rFonts w:ascii="仿宋" w:hAnsi="仿宋" w:eastAsia="仿宋"/>
        </w:rPr>
        <w:t>2个业务品种：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（一）慈善信托。委托人基于慈善目的，依法将其财产委托给信托公司，由信托公司按照委托人意愿以受托人名义进行管理和处分，开展慈善活动的行为。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（二）其他公益信托。除慈善信托以外，信托公司依据《中华人民共和国信托法》开展，经监管部门认可的其他公益信托业务。</w:t>
      </w:r>
    </w:p>
    <w:p>
      <w:pPr>
        <w:widowControl/>
        <w:jc w:val="left"/>
        <w:rPr>
          <w:rFonts w:hint="eastAsia" w:ascii="仿宋" w:hAnsi="仿宋" w:eastAsia="仿宋"/>
        </w:rPr>
      </w:pPr>
      <w:r>
        <w:rPr>
          <w:rFonts w:ascii="仿宋" w:hAnsi="仿宋" w:eastAsia="仿宋"/>
        </w:rPr>
        <w:br w:type="page"/>
      </w:r>
    </w:p>
    <w:p>
      <w:pPr>
        <w:pStyle w:val="362"/>
        <w:widowControl/>
        <w:snapToGrid w:val="0"/>
        <w:spacing w:line="360" w:lineRule="auto"/>
        <w:rPr>
          <w:rFonts w:hint="eastAsia" w:ascii="仿宋" w:hAnsi="仿宋" w:eastAsia="仿宋" w:cs="黑体"/>
          <w:sz w:val="21"/>
          <w:szCs w:val="21"/>
        </w:rPr>
      </w:pPr>
      <w:r>
        <w:rPr>
          <w:rFonts w:hint="eastAsia" w:ascii="仿宋" w:hAnsi="仿宋" w:eastAsia="仿宋" w:cs="黑体"/>
          <w:sz w:val="21"/>
          <w:szCs w:val="21"/>
        </w:rPr>
        <w:t>附件2</w:t>
      </w:r>
    </w:p>
    <w:p>
      <w:pPr>
        <w:pStyle w:val="362"/>
        <w:widowControl/>
        <w:snapToGrid w:val="0"/>
        <w:spacing w:line="360" w:lineRule="auto"/>
        <w:jc w:val="center"/>
        <w:rPr>
          <w:rFonts w:hint="eastAsia" w:ascii="仿宋" w:hAnsi="仿宋" w:eastAsia="仿宋" w:cs="方正小标宋简体"/>
          <w:color w:val="000000"/>
          <w:sz w:val="21"/>
          <w:szCs w:val="21"/>
          <w:lang w:bidi="ar"/>
        </w:rPr>
      </w:pPr>
      <w:r>
        <w:rPr>
          <w:rFonts w:hint="eastAsia" w:ascii="仿宋" w:hAnsi="仿宋" w:eastAsia="仿宋" w:cs="方正小标宋简体"/>
          <w:color w:val="000000"/>
          <w:sz w:val="21"/>
          <w:szCs w:val="21"/>
          <w:lang w:bidi="ar"/>
        </w:rPr>
        <w:t>信托公司信托业务新分类简表</w:t>
      </w:r>
    </w:p>
    <w:tbl>
      <w:tblPr>
        <w:tblStyle w:val="42"/>
        <w:tblW w:w="8354" w:type="dxa"/>
        <w:jc w:val="center"/>
        <w:tblLayout w:type="fixed"/>
        <w:tblCellMar>
          <w:top w:w="0" w:type="dxa"/>
          <w:left w:w="108" w:type="dxa"/>
          <w:bottom w:w="0" w:type="dxa"/>
          <w:right w:w="108" w:type="dxa"/>
        </w:tblCellMar>
      </w:tblPr>
      <w:tblGrid>
        <w:gridCol w:w="1620"/>
        <w:gridCol w:w="945"/>
        <w:gridCol w:w="1111"/>
        <w:gridCol w:w="1134"/>
        <w:gridCol w:w="3544"/>
      </w:tblGrid>
      <w:tr>
        <w:tblPrEx>
          <w:tblCellMar>
            <w:top w:w="0" w:type="dxa"/>
            <w:left w:w="108" w:type="dxa"/>
            <w:bottom w:w="0" w:type="dxa"/>
            <w:right w:w="108" w:type="dxa"/>
          </w:tblCellMar>
        </w:tblPrEx>
        <w:trPr>
          <w:trHeight w:val="480" w:hRule="atLeast"/>
          <w:jc w:val="center"/>
        </w:trPr>
        <w:tc>
          <w:tcPr>
            <w:tcW w:w="1620" w:type="dxa"/>
            <w:vMerge w:val="restart"/>
            <w:tcBorders>
              <w:top w:val="single" w:color="000000" w:sz="8" w:space="0"/>
              <w:left w:val="single" w:color="000000" w:sz="8" w:space="0"/>
              <w:bottom w:val="single" w:color="000000" w:sz="4" w:space="0"/>
              <w:right w:val="single" w:color="000000" w:sz="4" w:space="0"/>
              <w:tl2br w:val="single" w:color="000000" w:sz="4" w:space="0"/>
            </w:tcBorders>
            <w:vAlign w:val="center"/>
          </w:tcPr>
          <w:p>
            <w:pPr>
              <w:widowControl/>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 xml:space="preserve">    </w:t>
            </w:r>
            <w:r>
              <w:rPr>
                <w:rFonts w:hint="eastAsia" w:ascii="仿宋" w:hAnsi="仿宋" w:eastAsia="仿宋" w:cs="宋体"/>
                <w:b/>
                <w:bCs/>
                <w:color w:val="000000"/>
                <w:kern w:val="0"/>
                <w:szCs w:val="21"/>
                <w:lang w:bidi="ar"/>
              </w:rPr>
              <w:t>业务品种</w:t>
            </w:r>
            <w:r>
              <w:rPr>
                <w:rFonts w:hint="eastAsia" w:ascii="仿宋" w:hAnsi="仿宋" w:eastAsia="仿宋" w:cs="宋体"/>
                <w:b/>
                <w:bCs/>
                <w:color w:val="000000"/>
                <w:kern w:val="0"/>
                <w:szCs w:val="21"/>
                <w:lang w:bidi="ar"/>
              </w:rPr>
              <w:br w:type="textWrapping"/>
            </w:r>
            <w:r>
              <w:rPr>
                <w:rFonts w:hint="eastAsia" w:ascii="仿宋" w:hAnsi="仿宋" w:eastAsia="仿宋" w:cs="宋体"/>
                <w:b/>
                <w:bCs/>
                <w:color w:val="000000"/>
                <w:kern w:val="0"/>
                <w:szCs w:val="21"/>
                <w:lang w:bidi="ar"/>
              </w:rPr>
              <w:br w:type="textWrapping"/>
            </w:r>
            <w:r>
              <w:rPr>
                <w:rFonts w:hint="eastAsia" w:ascii="仿宋" w:hAnsi="仿宋" w:eastAsia="仿宋" w:cs="宋体"/>
                <w:b/>
                <w:bCs/>
                <w:color w:val="000000"/>
                <w:kern w:val="0"/>
                <w:szCs w:val="21"/>
                <w:lang w:bidi="ar"/>
              </w:rPr>
              <w:t>服务实质</w:t>
            </w:r>
          </w:p>
        </w:tc>
        <w:tc>
          <w:tcPr>
            <w:tcW w:w="945" w:type="dxa"/>
            <w:vMerge w:val="restart"/>
            <w:tcBorders>
              <w:top w:val="single" w:color="000000" w:sz="8"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b/>
                <w:bCs/>
                <w:color w:val="000000"/>
                <w:szCs w:val="21"/>
              </w:rPr>
            </w:pPr>
            <w:r>
              <w:rPr>
                <w:rFonts w:hint="eastAsia" w:ascii="仿宋" w:hAnsi="仿宋" w:eastAsia="仿宋" w:cs="宋体"/>
                <w:b/>
                <w:bCs/>
                <w:color w:val="000000"/>
                <w:kern w:val="0"/>
                <w:szCs w:val="21"/>
                <w:lang w:bidi="ar"/>
              </w:rPr>
              <w:t>是否募集资金</w:t>
            </w:r>
          </w:p>
        </w:tc>
        <w:tc>
          <w:tcPr>
            <w:tcW w:w="1111" w:type="dxa"/>
            <w:vMerge w:val="restart"/>
            <w:tcBorders>
              <w:top w:val="single" w:color="000000" w:sz="8"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b/>
                <w:bCs/>
                <w:color w:val="000000"/>
                <w:szCs w:val="21"/>
              </w:rPr>
            </w:pPr>
            <w:r>
              <w:rPr>
                <w:rFonts w:hint="eastAsia" w:ascii="仿宋" w:hAnsi="仿宋" w:eastAsia="仿宋" w:cs="宋体"/>
                <w:b/>
                <w:bCs/>
                <w:color w:val="000000"/>
                <w:kern w:val="0"/>
                <w:szCs w:val="21"/>
                <w:lang w:bidi="ar"/>
              </w:rPr>
              <w:t>受益类型</w:t>
            </w:r>
          </w:p>
        </w:tc>
        <w:tc>
          <w:tcPr>
            <w:tcW w:w="4678" w:type="dxa"/>
            <w:gridSpan w:val="2"/>
            <w:vMerge w:val="restart"/>
            <w:tcBorders>
              <w:top w:val="single" w:color="000000" w:sz="8"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b/>
                <w:bCs/>
                <w:color w:val="000000"/>
                <w:szCs w:val="21"/>
              </w:rPr>
            </w:pPr>
            <w:r>
              <w:rPr>
                <w:rFonts w:hint="eastAsia" w:ascii="仿宋" w:hAnsi="仿宋" w:eastAsia="仿宋" w:cs="宋体"/>
                <w:b/>
                <w:bCs/>
                <w:color w:val="000000"/>
                <w:kern w:val="0"/>
                <w:szCs w:val="21"/>
                <w:lang w:bidi="ar"/>
              </w:rPr>
              <w:t>主要信托业务品种</w:t>
            </w:r>
          </w:p>
        </w:tc>
      </w:tr>
      <w:tr>
        <w:tblPrEx>
          <w:tblCellMar>
            <w:top w:w="0" w:type="dxa"/>
            <w:left w:w="108" w:type="dxa"/>
            <w:bottom w:w="0" w:type="dxa"/>
            <w:right w:w="108" w:type="dxa"/>
          </w:tblCellMar>
        </w:tblPrEx>
        <w:trPr>
          <w:trHeight w:val="420" w:hRule="atLeast"/>
          <w:jc w:val="center"/>
        </w:trPr>
        <w:tc>
          <w:tcPr>
            <w:tcW w:w="1620" w:type="dxa"/>
            <w:vMerge w:val="continue"/>
            <w:tcBorders>
              <w:top w:val="single" w:color="000000" w:sz="8" w:space="0"/>
              <w:left w:val="single" w:color="000000" w:sz="8" w:space="0"/>
              <w:bottom w:val="single" w:color="000000" w:sz="4" w:space="0"/>
              <w:right w:val="single" w:color="000000" w:sz="4" w:space="0"/>
              <w:tl2br w:val="single" w:color="000000" w:sz="4" w:space="0"/>
            </w:tcBorders>
            <w:vAlign w:val="center"/>
          </w:tcPr>
          <w:p>
            <w:pPr>
              <w:rPr>
                <w:rFonts w:hint="eastAsia" w:ascii="仿宋" w:hAnsi="仿宋" w:eastAsia="仿宋" w:cs="宋体"/>
                <w:color w:val="000000"/>
                <w:szCs w:val="21"/>
              </w:rPr>
            </w:pPr>
          </w:p>
        </w:tc>
        <w:tc>
          <w:tcPr>
            <w:tcW w:w="945" w:type="dxa"/>
            <w:vMerge w:val="continue"/>
            <w:tcBorders>
              <w:top w:val="single" w:color="000000" w:sz="8"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b/>
                <w:bCs/>
                <w:color w:val="000000"/>
                <w:szCs w:val="21"/>
              </w:rPr>
            </w:pPr>
          </w:p>
        </w:tc>
        <w:tc>
          <w:tcPr>
            <w:tcW w:w="1111" w:type="dxa"/>
            <w:vMerge w:val="continue"/>
            <w:tcBorders>
              <w:top w:val="single" w:color="000000" w:sz="8"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b/>
                <w:bCs/>
                <w:color w:val="000000"/>
                <w:szCs w:val="21"/>
              </w:rPr>
            </w:pPr>
          </w:p>
        </w:tc>
        <w:tc>
          <w:tcPr>
            <w:tcW w:w="4678" w:type="dxa"/>
            <w:gridSpan w:val="2"/>
            <w:vMerge w:val="continue"/>
            <w:tcBorders>
              <w:top w:val="single" w:color="000000" w:sz="8"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b/>
                <w:bCs/>
                <w:color w:val="000000"/>
                <w:szCs w:val="21"/>
              </w:rPr>
            </w:pPr>
          </w:p>
        </w:tc>
      </w:tr>
      <w:tr>
        <w:tblPrEx>
          <w:tblCellMar>
            <w:top w:w="0" w:type="dxa"/>
            <w:left w:w="108" w:type="dxa"/>
            <w:bottom w:w="0" w:type="dxa"/>
            <w:right w:w="108" w:type="dxa"/>
          </w:tblCellMar>
        </w:tblPrEx>
        <w:trPr>
          <w:trHeight w:val="380" w:hRule="atLeast"/>
          <w:jc w:val="center"/>
        </w:trPr>
        <w:tc>
          <w:tcPr>
            <w:tcW w:w="1620" w:type="dxa"/>
            <w:vMerge w:val="restart"/>
            <w:tcBorders>
              <w:top w:val="single" w:color="000000" w:sz="4" w:space="0"/>
              <w:left w:val="single" w:color="000000" w:sz="8" w:space="0"/>
              <w:bottom w:val="single" w:color="000000" w:sz="4" w:space="0"/>
              <w:right w:val="single" w:color="000000" w:sz="4" w:space="0"/>
            </w:tcBorders>
            <w:vAlign w:val="center"/>
          </w:tcPr>
          <w:p>
            <w:pPr>
              <w:widowControl/>
              <w:jc w:val="center"/>
              <w:textAlignment w:val="center"/>
              <w:rPr>
                <w:rFonts w:hint="eastAsia" w:ascii="仿宋" w:hAnsi="仿宋" w:eastAsia="仿宋" w:cs="宋体"/>
                <w:b/>
                <w:bCs/>
                <w:color w:val="000000"/>
                <w:kern w:val="0"/>
                <w:szCs w:val="21"/>
                <w:lang w:bidi="ar"/>
              </w:rPr>
            </w:pPr>
            <w:r>
              <w:rPr>
                <w:rFonts w:hint="eastAsia" w:ascii="仿宋" w:hAnsi="仿宋" w:eastAsia="仿宋" w:cs="宋体"/>
                <w:b/>
                <w:bCs/>
                <w:color w:val="000000"/>
                <w:kern w:val="0"/>
                <w:szCs w:val="21"/>
                <w:lang w:bidi="ar"/>
              </w:rPr>
              <w:t>资产服务</w:t>
            </w:r>
          </w:p>
          <w:p>
            <w:pPr>
              <w:widowControl/>
              <w:jc w:val="center"/>
              <w:textAlignment w:val="center"/>
              <w:rPr>
                <w:rFonts w:hint="eastAsia" w:ascii="仿宋" w:hAnsi="仿宋" w:eastAsia="仿宋" w:cs="宋体"/>
                <w:b/>
                <w:bCs/>
                <w:color w:val="000000"/>
                <w:kern w:val="0"/>
                <w:szCs w:val="21"/>
                <w:lang w:bidi="ar"/>
              </w:rPr>
            </w:pPr>
            <w:r>
              <w:rPr>
                <w:rFonts w:hint="eastAsia" w:ascii="仿宋" w:hAnsi="仿宋" w:eastAsia="仿宋" w:cs="宋体"/>
                <w:b/>
                <w:bCs/>
                <w:color w:val="000000"/>
                <w:kern w:val="0"/>
                <w:szCs w:val="21"/>
                <w:lang w:bidi="ar"/>
              </w:rPr>
              <w:t>信托业务</w:t>
            </w:r>
          </w:p>
        </w:tc>
        <w:tc>
          <w:tcPr>
            <w:tcW w:w="945"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不涉及</w:t>
            </w:r>
          </w:p>
        </w:tc>
        <w:tc>
          <w:tcPr>
            <w:tcW w:w="1111"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自益或</w:t>
            </w:r>
          </w:p>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他益</w:t>
            </w:r>
          </w:p>
        </w:tc>
        <w:tc>
          <w:tcPr>
            <w:tcW w:w="1134" w:type="dxa"/>
            <w:vMerge w:val="restart"/>
            <w:tcBorders>
              <w:top w:val="single" w:color="000000" w:sz="4" w:space="0"/>
              <w:left w:val="single" w:color="000000" w:sz="4" w:space="0"/>
              <w:bottom w:val="nil"/>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财富管理</w:t>
            </w:r>
          </w:p>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服务信托</w:t>
            </w: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家族信托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家庭服务信托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保险金信托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特殊需要信托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遗嘱信托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其他个人财富管理信托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法人及非法人组织财富管理信托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restart"/>
            <w:tcBorders>
              <w:top w:val="single" w:color="000000" w:sz="4" w:space="0"/>
              <w:left w:val="single" w:color="000000" w:sz="4" w:space="0"/>
              <w:bottom w:val="nil"/>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行政管理</w:t>
            </w:r>
          </w:p>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服务信托</w:t>
            </w: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预付类资金服务信托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资管产品服务信托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担保品服务信托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企业/职业年金服务信托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jc w:val="cente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其他行政管理服务信托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restart"/>
            <w:tcBorders>
              <w:top w:val="single" w:color="000000" w:sz="4" w:space="0"/>
              <w:left w:val="single" w:color="000000" w:sz="4" w:space="0"/>
              <w:bottom w:val="nil"/>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资产证券化服务信托</w:t>
            </w: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信贷资产证券化服务信托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企业资产证券化服务信托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非金融企业资产支持票据服务信托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其他资产证券化服务信托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restart"/>
            <w:tcBorders>
              <w:top w:val="single" w:color="000000" w:sz="4" w:space="0"/>
              <w:left w:val="single" w:color="000000" w:sz="4" w:space="0"/>
              <w:bottom w:val="nil"/>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风险处置</w:t>
            </w:r>
          </w:p>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服务信托</w:t>
            </w: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企业市场化重组服务信托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4"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34" w:type="dxa"/>
            <w:vMerge w:val="continue"/>
            <w:tcBorders>
              <w:top w:val="single" w:color="000000" w:sz="4" w:space="0"/>
              <w:left w:val="single" w:color="000000" w:sz="4" w:space="0"/>
              <w:bottom w:val="nil"/>
              <w:right w:val="single" w:color="000000" w:sz="4" w:space="0"/>
            </w:tcBorders>
            <w:vAlign w:val="center"/>
          </w:tcPr>
          <w:p>
            <w:pPr>
              <w:rPr>
                <w:rFonts w:hint="eastAsia" w:ascii="仿宋" w:hAnsi="仿宋" w:eastAsia="仿宋" w:cs="宋体"/>
                <w:color w:val="000000"/>
                <w:kern w:val="0"/>
                <w:szCs w:val="21"/>
                <w:lang w:bidi="ar"/>
              </w:rPr>
            </w:pPr>
          </w:p>
        </w:tc>
        <w:tc>
          <w:tcPr>
            <w:tcW w:w="3544"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企业破产服务信托</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4" w:space="0"/>
              <w:left w:val="single" w:color="000000" w:sz="8" w:space="0"/>
              <w:bottom w:val="single" w:color="000000" w:sz="8" w:space="0"/>
              <w:right w:val="single" w:color="000000" w:sz="4" w:space="0"/>
            </w:tcBorders>
            <w:vAlign w:val="center"/>
          </w:tcPr>
          <w:p>
            <w:pPr>
              <w:jc w:val="center"/>
              <w:rPr>
                <w:rFonts w:hint="eastAsia" w:ascii="仿宋" w:hAnsi="仿宋" w:eastAsia="仿宋" w:cs="宋体"/>
                <w:b/>
                <w:bCs/>
                <w:color w:val="000000"/>
                <w:kern w:val="0"/>
                <w:szCs w:val="21"/>
                <w:lang w:bidi="ar"/>
              </w:rPr>
            </w:pPr>
          </w:p>
        </w:tc>
        <w:tc>
          <w:tcPr>
            <w:tcW w:w="945" w:type="dxa"/>
            <w:vMerge w:val="continue"/>
            <w:tcBorders>
              <w:top w:val="single" w:color="000000" w:sz="4"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1111" w:type="dxa"/>
            <w:vMerge w:val="continue"/>
            <w:tcBorders>
              <w:top w:val="single" w:color="000000" w:sz="4"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kern w:val="0"/>
                <w:szCs w:val="21"/>
                <w:lang w:bidi="ar"/>
              </w:rPr>
            </w:pPr>
          </w:p>
        </w:tc>
        <w:tc>
          <w:tcPr>
            <w:tcW w:w="4678" w:type="dxa"/>
            <w:gridSpan w:val="2"/>
            <w:tcBorders>
              <w:top w:val="single" w:color="000000" w:sz="4"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新型资产服务信托</w:t>
            </w:r>
          </w:p>
        </w:tc>
      </w:tr>
      <w:tr>
        <w:tblPrEx>
          <w:tblCellMar>
            <w:top w:w="0" w:type="dxa"/>
            <w:left w:w="108" w:type="dxa"/>
            <w:bottom w:w="0" w:type="dxa"/>
            <w:right w:w="108" w:type="dxa"/>
          </w:tblCellMar>
        </w:tblPrEx>
        <w:trPr>
          <w:trHeight w:val="380" w:hRule="atLeast"/>
          <w:jc w:val="center"/>
        </w:trPr>
        <w:tc>
          <w:tcPr>
            <w:tcW w:w="1620" w:type="dxa"/>
            <w:vMerge w:val="restart"/>
            <w:tcBorders>
              <w:top w:val="single" w:color="000000" w:sz="8" w:space="0"/>
              <w:left w:val="single" w:color="000000" w:sz="8" w:space="0"/>
              <w:bottom w:val="single" w:color="000000" w:sz="8" w:space="0"/>
              <w:right w:val="single" w:color="000000" w:sz="4" w:space="0"/>
            </w:tcBorders>
            <w:vAlign w:val="center"/>
          </w:tcPr>
          <w:p>
            <w:pPr>
              <w:widowControl/>
              <w:jc w:val="center"/>
              <w:textAlignment w:val="center"/>
              <w:rPr>
                <w:rFonts w:hint="eastAsia" w:ascii="仿宋" w:hAnsi="仿宋" w:eastAsia="仿宋" w:cs="宋体"/>
                <w:b/>
                <w:bCs/>
                <w:color w:val="000000"/>
                <w:kern w:val="0"/>
                <w:szCs w:val="21"/>
                <w:lang w:bidi="ar"/>
              </w:rPr>
            </w:pPr>
            <w:r>
              <w:rPr>
                <w:rFonts w:hint="eastAsia" w:ascii="仿宋" w:hAnsi="仿宋" w:eastAsia="仿宋" w:cs="宋体"/>
                <w:b/>
                <w:bCs/>
                <w:color w:val="000000"/>
                <w:kern w:val="0"/>
                <w:szCs w:val="21"/>
                <w:lang w:bidi="ar"/>
              </w:rPr>
              <w:t>资产管理</w:t>
            </w:r>
          </w:p>
          <w:p>
            <w:pPr>
              <w:widowControl/>
              <w:jc w:val="center"/>
              <w:textAlignment w:val="center"/>
              <w:rPr>
                <w:rFonts w:hint="eastAsia" w:ascii="仿宋" w:hAnsi="仿宋" w:eastAsia="仿宋" w:cs="宋体"/>
                <w:b/>
                <w:bCs/>
                <w:color w:val="000000"/>
                <w:szCs w:val="21"/>
              </w:rPr>
            </w:pPr>
            <w:r>
              <w:rPr>
                <w:rFonts w:hint="eastAsia" w:ascii="仿宋" w:hAnsi="仿宋" w:eastAsia="仿宋" w:cs="宋体"/>
                <w:b/>
                <w:bCs/>
                <w:color w:val="000000"/>
                <w:kern w:val="0"/>
                <w:szCs w:val="21"/>
                <w:lang w:bidi="ar"/>
              </w:rPr>
              <w:t>信托业务</w:t>
            </w:r>
          </w:p>
        </w:tc>
        <w:tc>
          <w:tcPr>
            <w:tcW w:w="945" w:type="dxa"/>
            <w:vMerge w:val="restart"/>
            <w:tcBorders>
              <w:top w:val="single" w:color="000000" w:sz="8" w:space="0"/>
              <w:left w:val="single" w:color="000000" w:sz="4" w:space="0"/>
              <w:bottom w:val="single" w:color="000000" w:sz="8" w:space="0"/>
              <w:right w:val="single" w:color="000000" w:sz="4" w:space="0"/>
            </w:tcBorders>
            <w:vAlign w:val="center"/>
          </w:tcPr>
          <w:p>
            <w:pPr>
              <w:widowControl/>
              <w:jc w:val="center"/>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私募</w:t>
            </w:r>
          </w:p>
        </w:tc>
        <w:tc>
          <w:tcPr>
            <w:tcW w:w="1111" w:type="dxa"/>
            <w:vMerge w:val="restart"/>
            <w:tcBorders>
              <w:top w:val="single" w:color="000000" w:sz="8" w:space="0"/>
              <w:left w:val="single" w:color="000000" w:sz="4" w:space="0"/>
              <w:bottom w:val="single" w:color="000000" w:sz="8" w:space="0"/>
              <w:right w:val="single" w:color="000000" w:sz="4" w:space="0"/>
            </w:tcBorders>
            <w:vAlign w:val="center"/>
          </w:tcPr>
          <w:p>
            <w:pPr>
              <w:widowControl/>
              <w:jc w:val="center"/>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自益</w:t>
            </w:r>
          </w:p>
        </w:tc>
        <w:tc>
          <w:tcPr>
            <w:tcW w:w="1134" w:type="dxa"/>
            <w:vMerge w:val="restart"/>
            <w:tcBorders>
              <w:top w:val="single" w:color="000000" w:sz="8" w:space="0"/>
              <w:left w:val="single" w:color="000000" w:sz="4" w:space="0"/>
              <w:bottom w:val="single" w:color="000000" w:sz="8" w:space="0"/>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集合资金</w:t>
            </w:r>
          </w:p>
          <w:p>
            <w:pPr>
              <w:widowControl/>
              <w:jc w:val="center"/>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信托计划</w:t>
            </w:r>
          </w:p>
        </w:tc>
        <w:tc>
          <w:tcPr>
            <w:tcW w:w="3544" w:type="dxa"/>
            <w:tcBorders>
              <w:top w:val="single" w:color="000000" w:sz="8"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固定收益类信托计划</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8" w:space="0"/>
              <w:left w:val="single" w:color="000000" w:sz="8" w:space="0"/>
              <w:bottom w:val="single" w:color="000000" w:sz="8" w:space="0"/>
              <w:right w:val="single" w:color="000000" w:sz="4" w:space="0"/>
            </w:tcBorders>
            <w:vAlign w:val="center"/>
          </w:tcPr>
          <w:p>
            <w:pPr>
              <w:jc w:val="center"/>
              <w:rPr>
                <w:rFonts w:hint="eastAsia" w:ascii="仿宋" w:hAnsi="仿宋" w:eastAsia="仿宋" w:cs="宋体"/>
                <w:b/>
                <w:bCs/>
                <w:color w:val="000000"/>
                <w:szCs w:val="21"/>
              </w:rPr>
            </w:pPr>
          </w:p>
        </w:tc>
        <w:tc>
          <w:tcPr>
            <w:tcW w:w="945"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11"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34"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3544" w:type="dxa"/>
            <w:tcBorders>
              <w:top w:val="single" w:color="000000" w:sz="8"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权益类信托计划</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8" w:space="0"/>
              <w:left w:val="single" w:color="000000" w:sz="8" w:space="0"/>
              <w:bottom w:val="single" w:color="000000" w:sz="8" w:space="0"/>
              <w:right w:val="single" w:color="000000" w:sz="4" w:space="0"/>
            </w:tcBorders>
            <w:vAlign w:val="center"/>
          </w:tcPr>
          <w:p>
            <w:pPr>
              <w:jc w:val="center"/>
              <w:rPr>
                <w:rFonts w:hint="eastAsia" w:ascii="仿宋" w:hAnsi="仿宋" w:eastAsia="仿宋" w:cs="宋体"/>
                <w:b/>
                <w:bCs/>
                <w:color w:val="000000"/>
                <w:szCs w:val="21"/>
              </w:rPr>
            </w:pPr>
          </w:p>
        </w:tc>
        <w:tc>
          <w:tcPr>
            <w:tcW w:w="945"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11"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34"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3544" w:type="dxa"/>
            <w:tcBorders>
              <w:top w:val="single" w:color="000000" w:sz="8"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商品及金融衍生品类信托计划</w:t>
            </w:r>
          </w:p>
        </w:tc>
      </w:tr>
      <w:tr>
        <w:tblPrEx>
          <w:tblCellMar>
            <w:top w:w="0" w:type="dxa"/>
            <w:left w:w="108" w:type="dxa"/>
            <w:bottom w:w="0" w:type="dxa"/>
            <w:right w:w="108" w:type="dxa"/>
          </w:tblCellMar>
        </w:tblPrEx>
        <w:trPr>
          <w:trHeight w:val="380" w:hRule="atLeast"/>
          <w:jc w:val="center"/>
        </w:trPr>
        <w:tc>
          <w:tcPr>
            <w:tcW w:w="1620" w:type="dxa"/>
            <w:vMerge w:val="continue"/>
            <w:tcBorders>
              <w:top w:val="single" w:color="000000" w:sz="8" w:space="0"/>
              <w:left w:val="single" w:color="000000" w:sz="8" w:space="0"/>
              <w:bottom w:val="single" w:color="000000" w:sz="8" w:space="0"/>
              <w:right w:val="single" w:color="000000" w:sz="4" w:space="0"/>
            </w:tcBorders>
            <w:vAlign w:val="center"/>
          </w:tcPr>
          <w:p>
            <w:pPr>
              <w:jc w:val="center"/>
              <w:rPr>
                <w:rFonts w:hint="eastAsia" w:ascii="仿宋" w:hAnsi="仿宋" w:eastAsia="仿宋" w:cs="宋体"/>
                <w:b/>
                <w:bCs/>
                <w:color w:val="000000"/>
                <w:szCs w:val="21"/>
              </w:rPr>
            </w:pPr>
          </w:p>
        </w:tc>
        <w:tc>
          <w:tcPr>
            <w:tcW w:w="945"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11"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1134" w:type="dxa"/>
            <w:vMerge w:val="continue"/>
            <w:tcBorders>
              <w:top w:val="single" w:color="000000" w:sz="8" w:space="0"/>
              <w:left w:val="single" w:color="000000" w:sz="4" w:space="0"/>
              <w:bottom w:val="single" w:color="000000" w:sz="8" w:space="0"/>
              <w:right w:val="single" w:color="000000" w:sz="4" w:space="0"/>
            </w:tcBorders>
            <w:vAlign w:val="center"/>
          </w:tcPr>
          <w:p>
            <w:pPr>
              <w:jc w:val="center"/>
              <w:rPr>
                <w:rFonts w:hint="eastAsia" w:ascii="仿宋" w:hAnsi="仿宋" w:eastAsia="仿宋" w:cs="宋体"/>
                <w:color w:val="000000"/>
                <w:szCs w:val="21"/>
              </w:rPr>
            </w:pPr>
          </w:p>
        </w:tc>
        <w:tc>
          <w:tcPr>
            <w:tcW w:w="3544" w:type="dxa"/>
            <w:tcBorders>
              <w:top w:val="single" w:color="000000" w:sz="8"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混合类信托计划</w:t>
            </w:r>
          </w:p>
        </w:tc>
      </w:tr>
      <w:tr>
        <w:tblPrEx>
          <w:tblCellMar>
            <w:top w:w="0" w:type="dxa"/>
            <w:left w:w="108" w:type="dxa"/>
            <w:bottom w:w="0" w:type="dxa"/>
            <w:right w:w="108" w:type="dxa"/>
          </w:tblCellMar>
        </w:tblPrEx>
        <w:trPr>
          <w:trHeight w:val="420" w:hRule="atLeast"/>
          <w:jc w:val="center"/>
        </w:trPr>
        <w:tc>
          <w:tcPr>
            <w:tcW w:w="1620" w:type="dxa"/>
            <w:vMerge w:val="restart"/>
            <w:tcBorders>
              <w:top w:val="single" w:color="000000" w:sz="8" w:space="0"/>
              <w:left w:val="single" w:color="000000" w:sz="8" w:space="0"/>
              <w:bottom w:val="single" w:color="000000" w:sz="8" w:space="0"/>
              <w:right w:val="single" w:color="000000" w:sz="4" w:space="0"/>
            </w:tcBorders>
            <w:vAlign w:val="center"/>
          </w:tcPr>
          <w:p>
            <w:pPr>
              <w:widowControl/>
              <w:jc w:val="center"/>
              <w:textAlignment w:val="center"/>
              <w:rPr>
                <w:rFonts w:hint="eastAsia" w:ascii="仿宋" w:hAnsi="仿宋" w:eastAsia="仿宋" w:cs="宋体"/>
                <w:b/>
                <w:bCs/>
                <w:color w:val="000000"/>
                <w:kern w:val="0"/>
                <w:szCs w:val="21"/>
                <w:lang w:bidi="ar"/>
              </w:rPr>
            </w:pPr>
            <w:r>
              <w:rPr>
                <w:rFonts w:hint="eastAsia" w:ascii="仿宋" w:hAnsi="仿宋" w:eastAsia="仿宋" w:cs="宋体"/>
                <w:b/>
                <w:bCs/>
                <w:color w:val="000000"/>
                <w:kern w:val="0"/>
                <w:szCs w:val="21"/>
                <w:lang w:bidi="ar"/>
              </w:rPr>
              <w:t>公益慈善</w:t>
            </w:r>
          </w:p>
          <w:p>
            <w:pPr>
              <w:widowControl/>
              <w:jc w:val="center"/>
              <w:textAlignment w:val="center"/>
              <w:rPr>
                <w:rFonts w:hint="eastAsia" w:ascii="仿宋" w:hAnsi="仿宋" w:eastAsia="仿宋" w:cs="宋体"/>
                <w:b/>
                <w:bCs/>
                <w:color w:val="000000"/>
                <w:szCs w:val="21"/>
              </w:rPr>
            </w:pPr>
            <w:r>
              <w:rPr>
                <w:rFonts w:hint="eastAsia" w:ascii="仿宋" w:hAnsi="仿宋" w:eastAsia="仿宋" w:cs="宋体"/>
                <w:b/>
                <w:bCs/>
                <w:color w:val="000000"/>
                <w:kern w:val="0"/>
                <w:szCs w:val="21"/>
                <w:lang w:bidi="ar"/>
              </w:rPr>
              <w:t>信托业务</w:t>
            </w:r>
          </w:p>
        </w:tc>
        <w:tc>
          <w:tcPr>
            <w:tcW w:w="945" w:type="dxa"/>
            <w:vMerge w:val="restart"/>
            <w:tcBorders>
              <w:top w:val="single" w:color="000000" w:sz="8" w:space="0"/>
              <w:left w:val="single" w:color="000000" w:sz="4" w:space="0"/>
              <w:bottom w:val="single" w:color="000000" w:sz="8" w:space="0"/>
              <w:right w:val="single" w:color="000000" w:sz="4" w:space="0"/>
            </w:tcBorders>
            <w:vAlign w:val="center"/>
          </w:tcPr>
          <w:p>
            <w:pPr>
              <w:widowControl/>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可能涉及募集</w:t>
            </w:r>
          </w:p>
        </w:tc>
        <w:tc>
          <w:tcPr>
            <w:tcW w:w="1111" w:type="dxa"/>
            <w:vMerge w:val="restart"/>
            <w:tcBorders>
              <w:top w:val="single" w:color="000000" w:sz="8" w:space="0"/>
              <w:left w:val="single" w:color="000000" w:sz="4" w:space="0"/>
              <w:bottom w:val="single" w:color="000000" w:sz="8" w:space="0"/>
              <w:right w:val="single" w:color="000000" w:sz="4" w:space="0"/>
            </w:tcBorders>
            <w:vAlign w:val="center"/>
          </w:tcPr>
          <w:p>
            <w:pPr>
              <w:widowControl/>
              <w:jc w:val="center"/>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公益</w:t>
            </w:r>
          </w:p>
        </w:tc>
        <w:tc>
          <w:tcPr>
            <w:tcW w:w="1134" w:type="dxa"/>
            <w:vMerge w:val="restart"/>
            <w:tcBorders>
              <w:top w:val="single" w:color="000000" w:sz="8" w:space="0"/>
              <w:left w:val="single" w:color="000000" w:sz="4" w:space="0"/>
              <w:bottom w:val="single" w:color="000000" w:sz="8" w:space="0"/>
              <w:right w:val="single" w:color="000000" w:sz="4" w:space="0"/>
            </w:tcBorders>
            <w:vAlign w:val="center"/>
          </w:tcPr>
          <w:p>
            <w:pPr>
              <w:widowControl/>
              <w:jc w:val="center"/>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公益慈善信托</w:t>
            </w:r>
          </w:p>
        </w:tc>
        <w:tc>
          <w:tcPr>
            <w:tcW w:w="3544" w:type="dxa"/>
            <w:tcBorders>
              <w:top w:val="single" w:color="000000" w:sz="8" w:space="0"/>
              <w:left w:val="single" w:color="000000" w:sz="4" w:space="0"/>
              <w:bottom w:val="single" w:color="000000" w:sz="8" w:space="0"/>
              <w:right w:val="single" w:color="000000" w:sz="4" w:space="0"/>
            </w:tcBorders>
            <w:vAlign w:val="center"/>
          </w:tcPr>
          <w:p>
            <w:pPr>
              <w:widowControl/>
              <w:jc w:val="left"/>
              <w:textAlignment w:val="center"/>
              <w:rPr>
                <w:rFonts w:hint="eastAsia" w:ascii="仿宋" w:hAnsi="仿宋" w:eastAsia="仿宋" w:cs="宋体"/>
                <w:color w:val="000000"/>
                <w:szCs w:val="21"/>
              </w:rPr>
            </w:pPr>
            <w:r>
              <w:rPr>
                <w:rFonts w:hint="eastAsia" w:ascii="仿宋" w:hAnsi="仿宋" w:eastAsia="仿宋" w:cs="宋体"/>
                <w:color w:val="000000"/>
                <w:kern w:val="0"/>
                <w:szCs w:val="21"/>
                <w:lang w:bidi="ar"/>
              </w:rPr>
              <w:t>慈善信托</w:t>
            </w:r>
          </w:p>
        </w:tc>
      </w:tr>
      <w:tr>
        <w:tblPrEx>
          <w:tblCellMar>
            <w:top w:w="0" w:type="dxa"/>
            <w:left w:w="108" w:type="dxa"/>
            <w:bottom w:w="0" w:type="dxa"/>
            <w:right w:w="108" w:type="dxa"/>
          </w:tblCellMar>
        </w:tblPrEx>
        <w:trPr>
          <w:trHeight w:val="420" w:hRule="atLeast"/>
          <w:jc w:val="center"/>
        </w:trPr>
        <w:tc>
          <w:tcPr>
            <w:tcW w:w="1620" w:type="dxa"/>
            <w:vMerge w:val="continue"/>
            <w:tcBorders>
              <w:top w:val="single" w:color="000000" w:sz="8" w:space="0"/>
              <w:left w:val="single" w:color="000000" w:sz="8" w:space="0"/>
              <w:bottom w:val="single" w:color="000000" w:sz="4" w:space="0"/>
              <w:right w:val="single" w:color="000000" w:sz="4" w:space="0"/>
            </w:tcBorders>
            <w:vAlign w:val="center"/>
          </w:tcPr>
          <w:p>
            <w:pPr>
              <w:widowControl/>
              <w:textAlignment w:val="center"/>
              <w:rPr>
                <w:rFonts w:hint="eastAsia" w:ascii="仿宋" w:hAnsi="仿宋" w:eastAsia="仿宋" w:cs="宋体"/>
                <w:b/>
                <w:bCs/>
                <w:color w:val="000000"/>
                <w:kern w:val="0"/>
                <w:szCs w:val="21"/>
                <w:lang w:bidi="ar"/>
              </w:rPr>
            </w:pPr>
          </w:p>
        </w:tc>
        <w:tc>
          <w:tcPr>
            <w:tcW w:w="945" w:type="dxa"/>
            <w:vMerge w:val="continue"/>
            <w:tcBorders>
              <w:top w:val="single" w:color="000000" w:sz="8" w:space="0"/>
              <w:left w:val="single" w:color="000000" w:sz="4" w:space="0"/>
              <w:bottom w:val="single" w:color="000000" w:sz="4" w:space="0"/>
              <w:right w:val="single" w:color="000000" w:sz="4" w:space="0"/>
            </w:tcBorders>
            <w:vAlign w:val="center"/>
          </w:tcPr>
          <w:p>
            <w:pPr>
              <w:widowControl/>
              <w:textAlignment w:val="center"/>
              <w:rPr>
                <w:rFonts w:hint="eastAsia" w:ascii="仿宋" w:hAnsi="仿宋" w:eastAsia="仿宋" w:cs="宋体"/>
                <w:color w:val="000000"/>
                <w:kern w:val="0"/>
                <w:szCs w:val="21"/>
                <w:lang w:bidi="ar"/>
              </w:rPr>
            </w:pPr>
          </w:p>
        </w:tc>
        <w:tc>
          <w:tcPr>
            <w:tcW w:w="1111" w:type="dxa"/>
            <w:vMerge w:val="continue"/>
            <w:tcBorders>
              <w:top w:val="single" w:color="000000" w:sz="8" w:space="0"/>
              <w:left w:val="single" w:color="000000" w:sz="4" w:space="0"/>
              <w:bottom w:val="single" w:color="000000" w:sz="4" w:space="0"/>
              <w:right w:val="single" w:color="000000" w:sz="4" w:space="0"/>
            </w:tcBorders>
            <w:vAlign w:val="center"/>
          </w:tcPr>
          <w:p>
            <w:pPr>
              <w:widowControl/>
              <w:textAlignment w:val="center"/>
              <w:rPr>
                <w:rFonts w:hint="eastAsia" w:ascii="仿宋" w:hAnsi="仿宋" w:eastAsia="仿宋" w:cs="宋体"/>
                <w:color w:val="000000"/>
                <w:kern w:val="0"/>
                <w:szCs w:val="21"/>
                <w:lang w:bidi="ar"/>
              </w:rPr>
            </w:pPr>
          </w:p>
        </w:tc>
        <w:tc>
          <w:tcPr>
            <w:tcW w:w="1134" w:type="dxa"/>
            <w:vMerge w:val="continue"/>
            <w:tcBorders>
              <w:top w:val="single" w:color="000000" w:sz="8"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Cs w:val="21"/>
                <w:lang w:bidi="ar"/>
              </w:rPr>
            </w:pPr>
          </w:p>
        </w:tc>
        <w:tc>
          <w:tcPr>
            <w:tcW w:w="3544" w:type="dxa"/>
            <w:tcBorders>
              <w:top w:val="single" w:color="000000" w:sz="8"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s="宋体"/>
                <w:color w:val="000000"/>
                <w:kern w:val="0"/>
                <w:szCs w:val="21"/>
                <w:lang w:bidi="ar"/>
              </w:rPr>
            </w:pPr>
            <w:r>
              <w:rPr>
                <w:rFonts w:hint="eastAsia" w:ascii="仿宋" w:hAnsi="仿宋" w:eastAsia="仿宋" w:cs="宋体"/>
                <w:color w:val="000000"/>
                <w:kern w:val="0"/>
                <w:szCs w:val="21"/>
                <w:lang w:bidi="ar"/>
              </w:rPr>
              <w:t>其他公益信托</w:t>
            </w:r>
          </w:p>
        </w:tc>
      </w:tr>
    </w:tbl>
    <w:p>
      <w:pPr>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