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593" w:name="_Toc5322"/>
      <w:r>
        <w:rPr>
          <w:rFonts w:hint="eastAsia"/>
        </w:rPr>
        <w:t>8</w:t>
      </w:r>
      <w:r>
        <w:t>47--</w:t>
      </w:r>
      <w:r>
        <w:rPr>
          <w:rFonts w:hint="eastAsia"/>
        </w:rPr>
        <w:t xml:space="preserve">国家金融监督管理总局 </w:t>
      </w:r>
      <w:r>
        <w:t>中国人民银行</w:t>
      </w:r>
      <w:r>
        <w:br w:type="textWrapping"/>
      </w:r>
      <w:r>
        <w:rPr>
          <w:rFonts w:hint="eastAsia"/>
        </w:rPr>
        <w:t xml:space="preserve">中国证券监督管理委员会 </w:t>
      </w:r>
      <w:r>
        <w:t>国家互联网信息办公室</w:t>
      </w:r>
      <w:r>
        <w:rPr>
          <w:rFonts w:hint="eastAsia"/>
        </w:rPr>
        <w:t xml:space="preserve"> </w:t>
      </w:r>
      <w:r>
        <w:t>国家外汇管理局</w:t>
      </w:r>
      <w:r>
        <w:br w:type="textWrapping"/>
      </w:r>
      <w:r>
        <w:t>关于规范货币经纪公司数据服务有关事项的通知</w:t>
      </w:r>
      <w:r>
        <w:br w:type="textWrapping"/>
      </w:r>
      <w:r>
        <w:rPr>
          <w:rFonts w:hint="eastAsia"/>
        </w:rPr>
        <w:t>金发〔</w:t>
      </w:r>
      <w:r>
        <w:t>2023〕6号</w:t>
      </w:r>
      <w:bookmarkEnd w:id="2593"/>
    </w:p>
    <w:p>
      <w:pPr>
        <w:adjustRightInd w:val="0"/>
        <w:snapToGrid w:val="0"/>
        <w:spacing w:line="312" w:lineRule="auto"/>
        <w:rPr>
          <w:rFonts w:hint="eastAsia" w:ascii="仿宋" w:hAnsi="仿宋" w:eastAsia="仿宋"/>
          <w:szCs w:val="21"/>
        </w:rPr>
      </w:pPr>
      <w:r>
        <w:rPr>
          <w:rFonts w:hint="eastAsia" w:ascii="仿宋" w:hAnsi="仿宋" w:eastAsia="仿宋"/>
          <w:szCs w:val="21"/>
        </w:rPr>
        <w:t>国家金融监督管理总局北京监管局、天津监管局、上海监管局、深圳监管局，各货币经纪公司，中国外汇交易中心，银行间市场清算所股份有限公司，中央国债登记结算有限责任公司，上海证券交易所，深圳证券交易所，北京证券交易所，中国金融期货交易所，中国证券登记结算有限责任公司，中证机构间报价系统股份有限公司，中债资信评估有限责任公司，中证指数有限公司，中债金融估值中心有限公司，境内外金融信息服务商：</w:t>
      </w:r>
    </w:p>
    <w:p>
      <w:pPr>
        <w:adjustRightInd w:val="0"/>
        <w:snapToGrid w:val="0"/>
        <w:spacing w:line="312" w:lineRule="auto"/>
        <w:ind w:firstLine="420" w:firstLineChars="200"/>
        <w:rPr>
          <w:rFonts w:hint="eastAsia" w:ascii="仿宋" w:hAnsi="仿宋" w:eastAsia="仿宋"/>
          <w:b/>
          <w:szCs w:val="21"/>
        </w:rPr>
      </w:pPr>
      <w:r>
        <w:rPr>
          <w:rFonts w:hint="eastAsia" w:ascii="仿宋" w:hAnsi="仿宋" w:eastAsia="仿宋"/>
          <w:szCs w:val="21"/>
        </w:rPr>
        <w:t>为规范货币经纪公司提供数据服务，鼓励数据依法合理利用，确保数据安全，提升市场信息透明度，促进市场公平竞争，推动行业高质量发展，现将有关事项通知如下：</w:t>
      </w:r>
    </w:p>
    <w:p>
      <w:pPr>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一、加强数据治理，确保数据安全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一）货币经纪公司进行数据处理、向市场提供数据服务，应当遵守法律法规和商业道德，尊重社会公德和伦理，履行数据安全保护义务，不得危害国家安全、金融安全和公共利益，不得损害金融机构的合法权益。</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二）货币经纪公司应当将数据治理纳入公司治理范畴，建立与业务发展目标相适应的数据安全治理体系，健全数据安全管理制度，加强经纪人员执业规范性管理，构建覆盖数据全生命周期和应用场景的安全保护机制，开展数据安全风险监测评估，保障数据服务安全稳健开展。</w:t>
      </w:r>
    </w:p>
    <w:p>
      <w:pPr>
        <w:adjustRightInd w:val="0"/>
        <w:snapToGrid w:val="0"/>
        <w:spacing w:line="312" w:lineRule="auto"/>
        <w:ind w:firstLine="420" w:firstLineChars="200"/>
        <w:rPr>
          <w:rFonts w:hint="eastAsia" w:ascii="仿宋" w:hAnsi="仿宋" w:eastAsia="仿宋"/>
          <w:b/>
          <w:szCs w:val="21"/>
        </w:rPr>
      </w:pPr>
      <w:r>
        <w:rPr>
          <w:rFonts w:hint="eastAsia" w:ascii="仿宋" w:hAnsi="仿宋" w:eastAsia="仿宋"/>
          <w:szCs w:val="21"/>
        </w:rPr>
        <w:t>（三）货币经纪公司应严格落实信息科技监管要求，加强信息科技风险管理体系建设，提升信息科技外包风险管控能力，严格控制生产系统访问权限，加强数据安全保护，确保网络和数据安全。</w:t>
      </w:r>
    </w:p>
    <w:p>
      <w:pPr>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二、规范提供数据标准，提高数据服务质量</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四）经交易机构授权同意后，货币经纪公司可向市场提供交易机构的报价数据和成交意向数据，数据标准应秉承“最小必须、保护客户隐私、促进信息共享”的原则，涉及能够识别交易双方主体的信息不得提供。向市场提供数据标准参考附件</w:t>
      </w:r>
      <w:r>
        <w:rPr>
          <w:rFonts w:ascii="仿宋" w:hAnsi="仿宋" w:eastAsia="仿宋"/>
          <w:szCs w:val="21"/>
        </w:rPr>
        <w:t>1，法律法规和监管另有规定的数据除外。</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（五）货币经纪公司应加强对交易机构、交易员资质的审核，不得接受不符合银行间市场、交易所市场准入条件的机构和个人的报价，不得将其报价纳入数据服务范围。</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（六）货币经纪公司发现交易机构的报价要素错误或明显背离市场行情的，应在发布报价前向交易机构进行确认，避免对外发布错误报价，减少异常数据对市场的影响。</w:t>
      </w:r>
    </w:p>
    <w:p>
      <w:pPr>
        <w:adjustRightInd w:val="0"/>
        <w:snapToGrid w:val="0"/>
        <w:spacing w:line="312" w:lineRule="auto"/>
        <w:ind w:firstLine="420" w:firstLineChars="200"/>
        <w:rPr>
          <w:rFonts w:hint="eastAsia" w:ascii="仿宋" w:hAnsi="仿宋" w:eastAsia="仿宋"/>
          <w:b/>
          <w:szCs w:val="21"/>
        </w:rPr>
      </w:pPr>
      <w:r>
        <w:rPr>
          <w:rFonts w:hint="eastAsia" w:ascii="仿宋" w:hAnsi="仿宋" w:eastAsia="仿宋"/>
          <w:szCs w:val="21"/>
        </w:rPr>
        <w:t>（七）货币经纪公司应严格落实数据报备的监管要求，按规定向金融监管部门和有关自律组织报送相关业务数据。</w:t>
      </w:r>
    </w:p>
    <w:p>
      <w:pPr>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三、明确可接受数据服务的机构范围，加强合作管理</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（八）金融监管部门商国家网信办确定可接受货币经纪公司数据服务的金融基础设施、金融信息服务商等机构名单（附件</w:t>
      </w:r>
      <w:r>
        <w:rPr>
          <w:rFonts w:ascii="仿宋" w:hAnsi="仿宋" w:eastAsia="仿宋"/>
          <w:szCs w:val="21"/>
        </w:rPr>
        <w:t>2），并根据实际情况对机构范围进行动态调整。</w:t>
      </w:r>
    </w:p>
    <w:p>
      <w:pPr>
        <w:adjustRightInd w:val="0"/>
        <w:snapToGrid w:val="0"/>
        <w:spacing w:line="312" w:lineRule="auto"/>
        <w:ind w:firstLine="420" w:firstLineChars="200"/>
        <w:rPr>
          <w:rFonts w:hint="eastAsia" w:ascii="仿宋" w:hAnsi="仿宋" w:eastAsia="仿宋"/>
          <w:b/>
          <w:szCs w:val="21"/>
        </w:rPr>
      </w:pPr>
      <w:r>
        <w:rPr>
          <w:rFonts w:hint="eastAsia" w:ascii="仿宋" w:hAnsi="仿宋" w:eastAsia="仿宋"/>
          <w:szCs w:val="21"/>
        </w:rPr>
        <w:t>（九）货币经纪公司按市场化原则与金融信息服务商等商业机构开展数据服务合作，对数据服务合作方建立并实施准入、评估和退出机制，确保其依法合规使用和管理数据。</w:t>
      </w:r>
    </w:p>
    <w:p>
      <w:pPr>
        <w:adjustRightInd w:val="0"/>
        <w:snapToGrid w:val="0"/>
        <w:spacing w:line="312" w:lineRule="auto"/>
        <w:ind w:firstLine="422" w:firstLineChars="200"/>
        <w:rPr>
          <w:rFonts w:hint="eastAsia" w:ascii="仿宋" w:hAnsi="仿宋" w:eastAsia="仿宋"/>
          <w:b/>
          <w:szCs w:val="21"/>
        </w:rPr>
      </w:pPr>
      <w:r>
        <w:rPr>
          <w:rFonts w:hint="eastAsia" w:ascii="仿宋" w:hAnsi="仿宋" w:eastAsia="仿宋"/>
          <w:b/>
          <w:szCs w:val="21"/>
        </w:rPr>
        <w:t>四、签订服务协议，规范数据使用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（十）货币经纪公司应与金融基础设施、金融信息服务商等数据使用方签订协议，明确双方的权利义务，对数据安全、数据展示、加工使用、再次分发、服务费用等事项进行明确约定。协议框架参考附件</w:t>
      </w:r>
      <w:r>
        <w:rPr>
          <w:rFonts w:ascii="仿宋" w:hAnsi="仿宋" w:eastAsia="仿宋"/>
          <w:szCs w:val="21"/>
        </w:rPr>
        <w:t>3。</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一）对于金融信息服务商，以及将数据用于行情展示、增值服务等商业用途（不以盈利为目的、不向其服务对象收取费用的除外）的金融基础设施，货币经纪公司可按照商业化原则向其收取合理的数据服务费用，覆盖提供数据成本，促进市场公平交易。</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（十二）金融监管部门加强对货币经纪公司数据服务的监督管理，对存在违反法律法规和本通知规定的，依法采取监管措施或者实施行政处罚。</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中国银行业协会、中国证券业协会、中国外汇交易中心、中国银行间市场交易商协会、沪深北证券交易所等根据相关规定对货币经纪公司数据服务进行自律管理。</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附件：</w:t>
      </w:r>
      <w:r>
        <w:rPr>
          <w:rFonts w:ascii="仿宋" w:hAnsi="仿宋" w:eastAsia="仿宋"/>
          <w:szCs w:val="21"/>
        </w:rPr>
        <w:t>1.货币经纪公司提供数据标准</w:t>
      </w:r>
    </w:p>
    <w:p>
      <w:pPr>
        <w:adjustRightInd w:val="0"/>
        <w:snapToGrid w:val="0"/>
        <w:spacing w:line="312" w:lineRule="auto"/>
        <w:ind w:left="420" w:firstLine="630" w:firstLineChars="300"/>
        <w:rPr>
          <w:rFonts w:hint="eastAsia" w:ascii="仿宋" w:hAnsi="仿宋" w:eastAsia="仿宋"/>
          <w:szCs w:val="21"/>
        </w:rPr>
      </w:pPr>
      <w:r>
        <w:rPr>
          <w:rFonts w:ascii="仿宋" w:hAnsi="仿宋" w:eastAsia="仿宋"/>
          <w:szCs w:val="21"/>
        </w:rPr>
        <w:t>2.货币经纪公司可提供数据服务的机构名单</w:t>
      </w:r>
    </w:p>
    <w:p>
      <w:pPr>
        <w:adjustRightInd w:val="0"/>
        <w:snapToGrid w:val="0"/>
        <w:spacing w:line="312" w:lineRule="auto"/>
        <w:ind w:left="420" w:firstLine="630" w:firstLineChars="300"/>
        <w:rPr>
          <w:rFonts w:hint="eastAsia" w:ascii="仿宋" w:hAnsi="仿宋" w:eastAsia="仿宋"/>
          <w:szCs w:val="21"/>
        </w:rPr>
      </w:pPr>
      <w:r>
        <w:rPr>
          <w:rFonts w:ascii="仿宋" w:hAnsi="仿宋" w:eastAsia="仿宋"/>
          <w:szCs w:val="21"/>
        </w:rPr>
        <w:t>3.货币经纪公司提供数据服务协议框架</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 xml:space="preserve">国家金融监督管理总局 </w:t>
      </w:r>
      <w:r>
        <w:rPr>
          <w:rFonts w:ascii="仿宋" w:hAnsi="仿宋" w:eastAsia="仿宋"/>
          <w:szCs w:val="21"/>
        </w:rPr>
        <w:t xml:space="preserve"> 中国人民银行</w:t>
      </w: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 xml:space="preserve">中国证券监督管理委员会 </w:t>
      </w:r>
      <w:r>
        <w:rPr>
          <w:rFonts w:ascii="仿宋" w:hAnsi="仿宋" w:eastAsia="仿宋"/>
          <w:szCs w:val="21"/>
        </w:rPr>
        <w:t xml:space="preserve"> 国家互联网信息办公室</w:t>
      </w:r>
    </w:p>
    <w:p>
      <w:pPr>
        <w:adjustRightInd w:val="0"/>
        <w:snapToGrid w:val="0"/>
        <w:spacing w:line="312" w:lineRule="auto"/>
        <w:ind w:firstLine="420" w:firstLineChars="200"/>
        <w:jc w:val="right"/>
        <w:rPr>
          <w:rFonts w:hint="eastAsia" w:ascii="仿宋" w:hAnsi="仿宋" w:eastAsia="仿宋"/>
          <w:szCs w:val="21"/>
        </w:rPr>
      </w:pPr>
      <w:r>
        <w:rPr>
          <w:rFonts w:hint="eastAsia" w:ascii="仿宋" w:hAnsi="仿宋" w:eastAsia="仿宋"/>
          <w:szCs w:val="21"/>
        </w:rPr>
        <w:t>国家外汇管理局</w:t>
      </w:r>
    </w:p>
    <w:p>
      <w:pPr>
        <w:adjustRightInd w:val="0"/>
        <w:snapToGrid w:val="0"/>
        <w:spacing w:line="312" w:lineRule="auto"/>
        <w:ind w:firstLine="420" w:firstLineChars="200"/>
        <w:jc w:val="right"/>
        <w:rPr>
          <w:rFonts w:hint="eastAsia" w:ascii="仿宋" w:hAnsi="仿宋" w:eastAsia="仿宋"/>
          <w:szCs w:val="21"/>
        </w:rPr>
      </w:pPr>
      <w:r>
        <w:rPr>
          <w:rFonts w:ascii="仿宋" w:hAnsi="仿宋" w:eastAsia="仿宋"/>
          <w:szCs w:val="21"/>
        </w:rPr>
        <w:t>2023年8月25日</w:t>
      </w:r>
    </w:p>
    <w:p>
      <w:pPr>
        <w:widowControl/>
        <w:jc w:val="left"/>
        <w:rPr>
          <w:rFonts w:hint="eastAsia" w:ascii="宋体" w:hAnsi="宋体" w:eastAsia="宋体"/>
          <w:szCs w:val="21"/>
        </w:rPr>
      </w:pPr>
      <w:r>
        <w:rPr>
          <w:rFonts w:ascii="宋体" w:hAnsi="宋体" w:eastAsia="宋体"/>
          <w:szCs w:val="21"/>
        </w:rPr>
        <w:br w:type="page"/>
      </w:r>
    </w:p>
    <w:p>
      <w:pPr>
        <w:adjustRightInd w:val="0"/>
        <w:snapToGrid w:val="0"/>
        <w:spacing w:line="312" w:lineRule="auto"/>
        <w:ind w:firstLine="420" w:firstLineChars="200"/>
        <w:rPr>
          <w:rFonts w:hint="eastAsia" w:ascii="仿宋" w:hAnsi="仿宋" w:eastAsia="仿宋" w:cs="黑体"/>
          <w:szCs w:val="21"/>
        </w:rPr>
      </w:pPr>
      <w:r>
        <w:rPr>
          <w:rFonts w:hint="eastAsia" w:ascii="仿宋" w:hAnsi="仿宋" w:eastAsia="仿宋" w:cs="黑体"/>
          <w:szCs w:val="21"/>
        </w:rPr>
        <w:t>附件1</w:t>
      </w:r>
    </w:p>
    <w:p>
      <w:pPr>
        <w:adjustRightInd w:val="0"/>
        <w:snapToGrid w:val="0"/>
        <w:spacing w:line="312" w:lineRule="auto"/>
        <w:ind w:firstLine="420" w:firstLineChars="200"/>
        <w:rPr>
          <w:rFonts w:hint="eastAsia" w:ascii="仿宋" w:hAnsi="仿宋" w:eastAsia="仿宋" w:cs="黑体"/>
          <w:szCs w:val="21"/>
        </w:rPr>
      </w:pPr>
    </w:p>
    <w:p>
      <w:pPr>
        <w:adjustRightInd w:val="0"/>
        <w:snapToGrid w:val="0"/>
        <w:spacing w:line="312" w:lineRule="auto"/>
        <w:ind w:firstLine="420" w:firstLineChars="200"/>
        <w:rPr>
          <w:rFonts w:hint="eastAsia" w:ascii="仿宋" w:hAnsi="仿宋" w:eastAsia="仿宋" w:cs="方正小标宋简体"/>
          <w:szCs w:val="21"/>
        </w:rPr>
      </w:pPr>
      <w:r>
        <w:rPr>
          <w:rFonts w:hint="eastAsia" w:ascii="仿宋" w:hAnsi="仿宋" w:eastAsia="仿宋" w:cs="方正小标宋简体"/>
          <w:szCs w:val="21"/>
        </w:rPr>
        <w:t>货币经纪公司提供数据标准</w:t>
      </w:r>
    </w:p>
    <w:p>
      <w:pPr>
        <w:adjustRightInd w:val="0"/>
        <w:snapToGrid w:val="0"/>
        <w:spacing w:line="312" w:lineRule="auto"/>
        <w:ind w:firstLine="420" w:firstLineChars="200"/>
        <w:rPr>
          <w:rFonts w:hint="eastAsia" w:ascii="仿宋" w:hAnsi="仿宋" w:eastAsia="仿宋" w:cs="方正小标宋简体"/>
          <w:szCs w:val="21"/>
        </w:rPr>
      </w:pPr>
    </w:p>
    <w:p>
      <w:pPr>
        <w:adjustRightInd w:val="0"/>
        <w:snapToGrid w:val="0"/>
        <w:spacing w:line="312" w:lineRule="auto"/>
        <w:ind w:firstLine="420" w:firstLineChars="200"/>
        <w:rPr>
          <w:rFonts w:hint="eastAsia" w:ascii="仿宋" w:hAnsi="仿宋" w:eastAsia="仿宋" w:cs="黑体"/>
          <w:szCs w:val="21"/>
        </w:rPr>
      </w:pPr>
      <w:r>
        <w:rPr>
          <w:rFonts w:hint="eastAsia" w:ascii="仿宋" w:hAnsi="仿宋" w:eastAsia="仿宋" w:cs="仿宋_GB2312"/>
          <w:szCs w:val="21"/>
        </w:rPr>
        <w:t>为规范货币经纪公司向市场提供的数据服务行为，在公平、透明的前提下确保数据合规、范围可控，制定本数据标准。</w:t>
      </w:r>
    </w:p>
    <w:p>
      <w:pPr>
        <w:adjustRightInd w:val="0"/>
        <w:snapToGrid w:val="0"/>
        <w:spacing w:line="312" w:lineRule="auto"/>
        <w:ind w:firstLine="420" w:firstLineChars="200"/>
        <w:rPr>
          <w:rFonts w:hint="eastAsia" w:ascii="仿宋" w:hAnsi="仿宋" w:eastAsia="仿宋" w:cs="黑体"/>
          <w:szCs w:val="21"/>
        </w:rPr>
      </w:pPr>
      <w:r>
        <w:rPr>
          <w:rFonts w:hint="eastAsia" w:ascii="仿宋" w:hAnsi="仿宋" w:eastAsia="仿宋" w:cs="黑体"/>
          <w:szCs w:val="21"/>
        </w:rPr>
        <w:t>一、内涵定义</w:t>
      </w:r>
    </w:p>
    <w:p>
      <w:pPr>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货币经纪公司可对外提供的数据来源于其经纪业务的原始数据，原始数据仅限于在撮合交易过程中产生的数据信息，包括交易机构为获得货币经纪公司的经纪服务而提供的原始报价信息和交易机构之间最终达成的成交意向价格信息。对原始数据中交易机构（交易员）信息、货币经纪公司内部信息等脱敏处理后形成行情数据。对原始数据采用复杂技术化手段进行深度分析处理、整合加工后独立于原始数据的功能性数据称为加工数据。</w:t>
      </w:r>
    </w:p>
    <w:p>
      <w:pPr>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货币经纪公司可对外提供的数据为脱敏后的行情数据和加工数据。</w:t>
      </w:r>
    </w:p>
    <w:p>
      <w:pPr>
        <w:adjustRightInd w:val="0"/>
        <w:snapToGrid w:val="0"/>
        <w:spacing w:line="312" w:lineRule="auto"/>
        <w:ind w:firstLine="420" w:firstLineChars="200"/>
        <w:rPr>
          <w:rFonts w:hint="eastAsia" w:ascii="仿宋" w:hAnsi="仿宋" w:eastAsia="仿宋" w:cs="黑体"/>
          <w:szCs w:val="21"/>
        </w:rPr>
      </w:pPr>
      <w:r>
        <w:rPr>
          <w:rFonts w:hint="eastAsia" w:ascii="仿宋" w:hAnsi="仿宋" w:eastAsia="仿宋" w:cs="黑体"/>
          <w:szCs w:val="21"/>
        </w:rPr>
        <w:t>二、基本要求</w:t>
      </w:r>
    </w:p>
    <w:p>
      <w:pPr>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楷体_GB2312"/>
          <w:szCs w:val="21"/>
        </w:rPr>
        <w:t>（一）安全性。</w:t>
      </w:r>
      <w:r>
        <w:rPr>
          <w:rFonts w:hint="eastAsia" w:ascii="仿宋" w:hAnsi="仿宋" w:eastAsia="仿宋" w:cs="仿宋_GB2312"/>
          <w:szCs w:val="21"/>
        </w:rPr>
        <w:t>对外数据传输过程中应采取加密、解密、防篡改等安全保障措施，防止撮合交易数据被损坏、泄露或盗用。</w:t>
      </w:r>
    </w:p>
    <w:p>
      <w:pPr>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楷体_GB2312"/>
          <w:szCs w:val="21"/>
        </w:rPr>
        <w:t>（二）完整性。</w:t>
      </w:r>
      <w:r>
        <w:rPr>
          <w:rFonts w:hint="eastAsia" w:ascii="仿宋" w:hAnsi="仿宋" w:eastAsia="仿宋" w:cs="仿宋_GB2312"/>
          <w:szCs w:val="21"/>
        </w:rPr>
        <w:t>行情数据应包含达成一笔交易所必要的关键要素，包括交易标的、交易价格、交易方向等。</w:t>
      </w:r>
    </w:p>
    <w:p>
      <w:pPr>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楷体_GB2312"/>
          <w:szCs w:val="21"/>
        </w:rPr>
        <w:t>（三）准确性。</w:t>
      </w:r>
      <w:r>
        <w:rPr>
          <w:rFonts w:hint="eastAsia" w:ascii="仿宋" w:hAnsi="仿宋" w:eastAsia="仿宋" w:cs="仿宋_GB2312"/>
          <w:szCs w:val="21"/>
        </w:rPr>
        <w:t>在完整性的基础上，确保对外提供数据字段准确无误、数据真实有效。</w:t>
      </w:r>
    </w:p>
    <w:p>
      <w:pPr>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楷体_GB2312"/>
          <w:szCs w:val="21"/>
        </w:rPr>
        <w:t>（四）可靠性。</w:t>
      </w:r>
      <w:r>
        <w:rPr>
          <w:rFonts w:hint="eastAsia" w:ascii="仿宋" w:hAnsi="仿宋" w:eastAsia="仿宋" w:cs="仿宋_GB2312"/>
          <w:szCs w:val="21"/>
        </w:rPr>
        <w:t>数据的来源、处理过程、数据验证等必须可靠。</w:t>
      </w:r>
    </w:p>
    <w:p>
      <w:pPr>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楷体_GB2312"/>
          <w:szCs w:val="21"/>
        </w:rPr>
        <w:t>（五）隐私性。</w:t>
      </w:r>
      <w:r>
        <w:rPr>
          <w:rFonts w:hint="eastAsia" w:ascii="仿宋" w:hAnsi="仿宋" w:eastAsia="仿宋" w:cs="仿宋_GB2312"/>
          <w:szCs w:val="21"/>
        </w:rPr>
        <w:t>数据传输前应对交易机构名称、交易员信息进行脱敏处理。</w:t>
      </w:r>
    </w:p>
    <w:p>
      <w:pPr>
        <w:adjustRightInd w:val="0"/>
        <w:snapToGrid w:val="0"/>
        <w:spacing w:line="312" w:lineRule="auto"/>
        <w:ind w:firstLine="420" w:firstLineChars="200"/>
        <w:rPr>
          <w:rFonts w:hint="eastAsia" w:ascii="仿宋" w:hAnsi="仿宋" w:eastAsia="仿宋" w:cs="黑体"/>
          <w:szCs w:val="21"/>
        </w:rPr>
      </w:pPr>
      <w:r>
        <w:rPr>
          <w:rFonts w:hint="eastAsia" w:ascii="仿宋" w:hAnsi="仿宋" w:eastAsia="仿宋" w:cs="黑体"/>
          <w:szCs w:val="21"/>
        </w:rPr>
        <w:t>三、禁止性规定</w:t>
      </w:r>
    </w:p>
    <w:p>
      <w:pPr>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除法律法规和监管另有规定外，货币经纪公司不得对外主动公布非公开数据信息。货币经纪公司不得滥用自身特殊地位，从事数据垄断行为或与第三方达成排他性数据合作。非经有权管理部门批准，货币经纪公司不得销售或对外提供原始数据。</w:t>
      </w:r>
    </w:p>
    <w:p>
      <w:pPr>
        <w:adjustRightInd w:val="0"/>
        <w:snapToGrid w:val="0"/>
        <w:spacing w:line="312" w:lineRule="auto"/>
        <w:ind w:firstLine="420" w:firstLineChars="200"/>
        <w:rPr>
          <w:rFonts w:hint="eastAsia" w:ascii="仿宋" w:hAnsi="仿宋" w:eastAsia="仿宋" w:cs="黑体"/>
          <w:szCs w:val="21"/>
        </w:rPr>
      </w:pPr>
      <w:r>
        <w:rPr>
          <w:rFonts w:hint="eastAsia" w:ascii="仿宋" w:hAnsi="仿宋" w:eastAsia="仿宋" w:cs="黑体"/>
          <w:szCs w:val="21"/>
        </w:rPr>
        <w:t>四、分层管理</w:t>
      </w:r>
    </w:p>
    <w:p>
      <w:pPr>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货币经纪公司对外提供的数据应区别发送对象的机构职能和使用目的，实现差异化、层次化管理。</w:t>
      </w:r>
    </w:p>
    <w:p>
      <w:pPr>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（一）用于行情展示、实时交易、风险管理、估值分析等目的的，应实时逐笔展示最优报价和成交意向价格。</w:t>
      </w:r>
    </w:p>
    <w:p>
      <w:pPr>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（二）用于数据分析的，应对最优报价和成交意向价格按一定时间间隔频次推送。</w:t>
      </w:r>
    </w:p>
    <w:p>
      <w:pPr>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（三）除成交意向价格以外的成交意向数据仅向非用于商业用途的金融基础设施提供，不得向金融信息服务商等市场主体提供。</w:t>
      </w:r>
    </w:p>
    <w:p>
      <w:pPr>
        <w:adjustRightInd w:val="0"/>
        <w:snapToGrid w:val="0"/>
        <w:spacing w:line="312" w:lineRule="auto"/>
        <w:ind w:firstLine="420" w:firstLineChars="200"/>
        <w:rPr>
          <w:rFonts w:hint="eastAsia" w:ascii="仿宋" w:hAnsi="仿宋" w:eastAsia="仿宋" w:cs="仿宋_GB2312"/>
          <w:szCs w:val="21"/>
        </w:rPr>
      </w:pPr>
    </w:p>
    <w:p>
      <w:pPr>
        <w:adjustRightInd w:val="0"/>
        <w:snapToGrid w:val="0"/>
        <w:spacing w:line="312" w:lineRule="auto"/>
        <w:ind w:firstLine="420" w:firstLineChars="200"/>
        <w:rPr>
          <w:rFonts w:hint="eastAsia" w:ascii="仿宋" w:hAnsi="仿宋" w:eastAsia="仿宋" w:cs="仿宋_GB2312"/>
          <w:szCs w:val="21"/>
        </w:rPr>
      </w:pPr>
    </w:p>
    <w:p>
      <w:pPr>
        <w:widowControl/>
        <w:jc w:val="left"/>
        <w:rPr>
          <w:rFonts w:hint="eastAsia" w:ascii="宋体" w:hAnsi="宋体" w:eastAsia="宋体"/>
          <w:szCs w:val="21"/>
        </w:rPr>
      </w:pPr>
      <w:r>
        <w:rPr>
          <w:rFonts w:ascii="宋体" w:hAnsi="宋体" w:eastAsia="宋体"/>
          <w:szCs w:val="21"/>
        </w:rPr>
        <w:br w:type="page"/>
      </w:r>
    </w:p>
    <w:tbl>
      <w:tblPr>
        <w:tblStyle w:val="42"/>
        <w:tblW w:w="8222" w:type="dxa"/>
        <w:tblInd w:w="0" w:type="dxa"/>
        <w:tblLayout w:type="autofit"/>
        <w:tblCellMar>
          <w:top w:w="0" w:type="dxa"/>
          <w:left w:w="108" w:type="dxa"/>
          <w:bottom w:w="0" w:type="dxa"/>
          <w:right w:w="108" w:type="dxa"/>
        </w:tblCellMar>
      </w:tblPr>
      <w:tblGrid>
        <w:gridCol w:w="993"/>
        <w:gridCol w:w="7229"/>
      </w:tblGrid>
      <w:tr>
        <w:tblPrEx>
          <w:tblCellMar>
            <w:top w:w="0" w:type="dxa"/>
            <w:left w:w="108" w:type="dxa"/>
            <w:bottom w:w="0" w:type="dxa"/>
            <w:right w:w="108" w:type="dxa"/>
          </w:tblCellMar>
        </w:tblPrEx>
        <w:trPr>
          <w:trHeight w:val="240" w:hRule="atLeast"/>
        </w:trPr>
        <w:tc>
          <w:tcPr>
            <w:tcW w:w="993" w:type="dxa"/>
            <w:tcBorders>
              <w:top w:val="nil"/>
              <w:left w:val="nil"/>
              <w:bottom w:val="nil"/>
              <w:right w:val="nil"/>
            </w:tcBorders>
            <w:shd w:val="clear" w:color="auto" w:fill="auto"/>
            <w:vAlign w:val="center"/>
          </w:tcPr>
          <w:p>
            <w:pPr>
              <w:widowControl/>
              <w:jc w:val="left"/>
              <w:rPr>
                <w:rFonts w:hint="eastAsia" w:ascii="黑体" w:hAnsi="黑体" w:eastAsia="黑体" w:cs="宋体"/>
                <w:kern w:val="0"/>
                <w:szCs w:val="21"/>
              </w:rPr>
            </w:pPr>
            <w:r>
              <w:rPr>
                <w:rFonts w:hint="eastAsia" w:ascii="黑体" w:hAnsi="黑体" w:eastAsia="黑体" w:cs="宋体"/>
                <w:kern w:val="0"/>
                <w:szCs w:val="21"/>
              </w:rPr>
              <w:t>附件2</w:t>
            </w:r>
          </w:p>
        </w:tc>
        <w:tc>
          <w:tcPr>
            <w:tcW w:w="7229" w:type="dxa"/>
            <w:tcBorders>
              <w:top w:val="nil"/>
              <w:left w:val="nil"/>
              <w:bottom w:val="nil"/>
              <w:right w:val="nil"/>
            </w:tcBorders>
            <w:shd w:val="clear" w:color="auto" w:fill="auto"/>
            <w:vAlign w:val="center"/>
          </w:tcPr>
          <w:p>
            <w:pPr>
              <w:widowControl/>
              <w:jc w:val="left"/>
              <w:rPr>
                <w:rFonts w:hint="eastAsia" w:ascii="黑体" w:hAnsi="黑体" w:eastAsia="黑体" w:cs="宋体"/>
                <w:kern w:val="0"/>
                <w:szCs w:val="21"/>
              </w:rPr>
            </w:pPr>
          </w:p>
        </w:tc>
      </w:tr>
      <w:tr>
        <w:tblPrEx>
          <w:tblCellMar>
            <w:top w:w="0" w:type="dxa"/>
            <w:left w:w="108" w:type="dxa"/>
            <w:bottom w:w="0" w:type="dxa"/>
            <w:right w:w="108" w:type="dxa"/>
          </w:tblCellMar>
        </w:tblPrEx>
        <w:trPr>
          <w:trHeight w:val="240" w:hRule="atLeast"/>
        </w:trPr>
        <w:tc>
          <w:tcPr>
            <w:tcW w:w="8222" w:type="dxa"/>
            <w:gridSpan w:val="2"/>
            <w:tcBorders>
              <w:top w:val="nil"/>
              <w:left w:val="nil"/>
              <w:bottom w:val="nil"/>
              <w:right w:val="nil"/>
            </w:tcBorders>
            <w:shd w:val="clear" w:color="auto" w:fill="auto"/>
            <w:vAlign w:val="center"/>
          </w:tcPr>
          <w:p>
            <w:pPr>
              <w:widowControl/>
              <w:jc w:val="center"/>
              <w:rPr>
                <w:rFonts w:ascii="Times New Roman" w:hAnsi="Times New Roman" w:eastAsia="Times New Roman" w:cs="Times New Roman"/>
                <w:kern w:val="0"/>
                <w:szCs w:val="21"/>
              </w:rPr>
            </w:pPr>
          </w:p>
        </w:tc>
      </w:tr>
      <w:tr>
        <w:tblPrEx>
          <w:tblCellMar>
            <w:top w:w="0" w:type="dxa"/>
            <w:left w:w="108" w:type="dxa"/>
            <w:bottom w:w="0" w:type="dxa"/>
            <w:right w:w="108" w:type="dxa"/>
          </w:tblCellMar>
        </w:tblPrEx>
        <w:trPr>
          <w:trHeight w:val="270" w:hRule="atLeast"/>
        </w:trPr>
        <w:tc>
          <w:tcPr>
            <w:tcW w:w="8222" w:type="dxa"/>
            <w:gridSpan w:val="2"/>
            <w:tcBorders>
              <w:top w:val="nil"/>
              <w:left w:val="nil"/>
              <w:bottom w:val="nil"/>
              <w:right w:val="nil"/>
            </w:tcBorders>
            <w:shd w:val="clear" w:color="auto" w:fill="auto"/>
            <w:vAlign w:val="center"/>
          </w:tcPr>
          <w:p>
            <w:pPr>
              <w:widowControl/>
              <w:jc w:val="center"/>
              <w:rPr>
                <w:rFonts w:hint="eastAsia" w:ascii="方正小标宋简体" w:hAnsi="宋体" w:eastAsia="方正小标宋简体" w:cs="宋体"/>
                <w:kern w:val="0"/>
                <w:szCs w:val="21"/>
              </w:rPr>
            </w:pPr>
            <w:r>
              <w:rPr>
                <w:rFonts w:hint="eastAsia" w:ascii="方正小标宋简体" w:hAnsi="宋体" w:eastAsia="方正小标宋简体" w:cs="宋体"/>
                <w:kern w:val="0"/>
                <w:szCs w:val="21"/>
              </w:rPr>
              <w:t>货币经纪公司可提供数据服务的机构名单</w:t>
            </w:r>
          </w:p>
        </w:tc>
      </w:tr>
      <w:tr>
        <w:tblPrEx>
          <w:tblCellMar>
            <w:top w:w="0" w:type="dxa"/>
            <w:left w:w="108" w:type="dxa"/>
            <w:bottom w:w="0" w:type="dxa"/>
            <w:right w:w="108" w:type="dxa"/>
          </w:tblCellMar>
        </w:tblPrEx>
        <w:trPr>
          <w:trHeight w:val="240" w:hRule="atLeast"/>
        </w:trPr>
        <w:tc>
          <w:tcPr>
            <w:tcW w:w="8222"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hint="eastAsia" w:ascii="黑体" w:hAnsi="黑体" w:eastAsia="黑体" w:cs="宋体"/>
                <w:kern w:val="0"/>
                <w:szCs w:val="21"/>
              </w:rPr>
            </w:pPr>
            <w:r>
              <w:rPr>
                <w:rFonts w:hint="eastAsia" w:ascii="黑体" w:hAnsi="黑体" w:eastAsia="黑体" w:cs="宋体"/>
                <w:kern w:val="0"/>
                <w:szCs w:val="21"/>
              </w:rPr>
              <w:t>金融基础设施</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中国外汇交易中心</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银行间市场清算所股份有限公司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中央国债登记结算有限责任公司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4</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上海证券交易所</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5</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深圳证券交易所</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6</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北京证券交易所</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7</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中国金融期货交易所</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8</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中国证券登记结算有限责任公司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9</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中证机构间报价系统股份有限公司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　</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　</w:t>
            </w:r>
          </w:p>
        </w:tc>
      </w:tr>
      <w:tr>
        <w:tblPrEx>
          <w:tblCellMar>
            <w:top w:w="0" w:type="dxa"/>
            <w:left w:w="108" w:type="dxa"/>
            <w:bottom w:w="0" w:type="dxa"/>
            <w:right w:w="108" w:type="dxa"/>
          </w:tblCellMar>
        </w:tblPrEx>
        <w:trPr>
          <w:trHeight w:val="240" w:hRule="atLeast"/>
        </w:trPr>
        <w:tc>
          <w:tcPr>
            <w:tcW w:w="8222" w:type="dxa"/>
            <w:gridSpan w:val="2"/>
            <w:tcBorders>
              <w:top w:val="single" w:color="auto" w:sz="4" w:space="0"/>
              <w:left w:val="single" w:color="auto" w:sz="4" w:space="0"/>
              <w:bottom w:val="single" w:color="auto" w:sz="4" w:space="0"/>
              <w:right w:val="single" w:color="000000" w:sz="4" w:space="0"/>
            </w:tcBorders>
            <w:shd w:val="clear" w:color="auto" w:fill="auto"/>
            <w:vAlign w:val="center"/>
          </w:tcPr>
          <w:p>
            <w:pPr>
              <w:widowControl/>
              <w:jc w:val="center"/>
              <w:rPr>
                <w:rFonts w:hint="eastAsia" w:ascii="黑体" w:hAnsi="黑体" w:eastAsia="黑体" w:cs="宋体"/>
                <w:kern w:val="0"/>
                <w:szCs w:val="21"/>
              </w:rPr>
            </w:pPr>
            <w:r>
              <w:rPr>
                <w:rFonts w:hint="eastAsia" w:ascii="黑体" w:hAnsi="黑体" w:eastAsia="黑体" w:cs="宋体"/>
                <w:kern w:val="0"/>
                <w:szCs w:val="21"/>
              </w:rPr>
              <w:t>估值类机构</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中债资信评估有限责任公司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中证指数有限公司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中债金融估值中心有限公司</w:t>
            </w:r>
          </w:p>
        </w:tc>
      </w:tr>
      <w:tr>
        <w:tblPrEx>
          <w:tblCellMar>
            <w:top w:w="0" w:type="dxa"/>
            <w:left w:w="108" w:type="dxa"/>
            <w:bottom w:w="0" w:type="dxa"/>
            <w:right w:w="108" w:type="dxa"/>
          </w:tblCellMar>
        </w:tblPrEx>
        <w:trPr>
          <w:trHeight w:val="270" w:hRule="atLeast"/>
        </w:trPr>
        <w:tc>
          <w:tcPr>
            <w:tcW w:w="993" w:type="dxa"/>
            <w:tcBorders>
              <w:top w:val="nil"/>
              <w:left w:val="single" w:color="auto" w:sz="4" w:space="0"/>
              <w:bottom w:val="single" w:color="auto" w:sz="4" w:space="0"/>
              <w:right w:val="nil"/>
            </w:tcBorders>
            <w:shd w:val="clear" w:color="auto" w:fill="auto"/>
            <w:vAlign w:val="center"/>
          </w:tcPr>
          <w:p>
            <w:pPr>
              <w:widowControl/>
              <w:jc w:val="center"/>
              <w:rPr>
                <w:rFonts w:hint="eastAsia" w:ascii="方正小标宋简体" w:hAnsi="宋体" w:eastAsia="方正小标宋简体" w:cs="宋体"/>
                <w:kern w:val="0"/>
                <w:szCs w:val="21"/>
              </w:rPr>
            </w:pPr>
            <w:r>
              <w:rPr>
                <w:rFonts w:hint="eastAsia" w:ascii="方正小标宋简体" w:hAnsi="宋体" w:eastAsia="方正小标宋简体" w:cs="宋体"/>
                <w:kern w:val="0"/>
                <w:szCs w:val="21"/>
              </w:rPr>
              <w:t>　</w:t>
            </w:r>
          </w:p>
        </w:tc>
        <w:tc>
          <w:tcPr>
            <w:tcW w:w="7229"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　</w:t>
            </w:r>
          </w:p>
        </w:tc>
      </w:tr>
      <w:tr>
        <w:tblPrEx>
          <w:tblCellMar>
            <w:top w:w="0" w:type="dxa"/>
            <w:left w:w="108" w:type="dxa"/>
            <w:bottom w:w="0" w:type="dxa"/>
            <w:right w:w="108" w:type="dxa"/>
          </w:tblCellMar>
        </w:tblPrEx>
        <w:trPr>
          <w:trHeight w:val="270" w:hRule="atLeast"/>
        </w:trPr>
        <w:tc>
          <w:tcPr>
            <w:tcW w:w="82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方正小标宋简体" w:hAnsi="宋体" w:eastAsia="方正小标宋简体" w:cs="宋体"/>
                <w:kern w:val="0"/>
                <w:szCs w:val="21"/>
              </w:rPr>
            </w:pPr>
            <w:r>
              <w:rPr>
                <w:rFonts w:hint="eastAsia" w:ascii="方正小标宋简体" w:hAnsi="宋体" w:eastAsia="方正小标宋简体" w:cs="宋体"/>
                <w:kern w:val="0"/>
                <w:szCs w:val="21"/>
              </w:rPr>
              <w:t>境内金融信息服务商</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中国经济信息社有限公司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北京富华创新科技发展有限责任公司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北京指南针科技发展股份有限公司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4</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财新数据科技有限公司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5</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北京领讯时代文化传媒有限公司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6</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万得信息技术股份有限公司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7</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上海财联社金融科技有限公司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8</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上海文华财经资讯股份有限公司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9</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东方财富信息股份有限公司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10</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上海乾隆高科技有限公司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11</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上海大智慧股份有限公司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12</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上海恒生聚源数据服务有限公司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13</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上海朝阳永续信息技术股份有限公司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14</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杭州同花顺数据开发有限公司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15</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宁波森浦信息技术有限公司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16</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广州金十信息科技有限公司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17</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深圳智通财经信息科技服务有限公司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18</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深圳市财富趋势科技股份有限公司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19</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深圳巨灵信息技术有限公司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20</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海南港澳资讯产业股份有限公司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21</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北京鲲纶天下数字科技有限公司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22</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北京快确信息科技有限公司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23</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北京雪球信息科技有限公司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24</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联信智评数字科技有限公司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25</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中互金数据科技有限公司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26</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上海阿汇信息技术有限公司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27</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上海寰擎信息科技有限公司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28</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上海有色网信息科技股份有限公司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29</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上海证券报社有限公司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30</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上甲数据服务（厦门）有限公司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31</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广东南方财经控股有限公司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32</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深圳格隆汇信息科技有限公司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33</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成都西筹科技有限公司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nil"/>
              <w:right w:val="nil"/>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　</w:t>
            </w:r>
          </w:p>
        </w:tc>
        <w:tc>
          <w:tcPr>
            <w:tcW w:w="7229" w:type="dxa"/>
            <w:tcBorders>
              <w:top w:val="nil"/>
              <w:left w:val="nil"/>
              <w:bottom w:val="nil"/>
              <w:right w:val="nil"/>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　</w:t>
            </w:r>
          </w:p>
        </w:tc>
      </w:tr>
      <w:tr>
        <w:tblPrEx>
          <w:tblCellMar>
            <w:top w:w="0" w:type="dxa"/>
            <w:left w:w="108" w:type="dxa"/>
            <w:bottom w:w="0" w:type="dxa"/>
            <w:right w:w="108" w:type="dxa"/>
          </w:tblCellMar>
        </w:tblPrEx>
        <w:trPr>
          <w:trHeight w:val="270" w:hRule="atLeast"/>
        </w:trPr>
        <w:tc>
          <w:tcPr>
            <w:tcW w:w="8222"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hint="eastAsia" w:ascii="方正小标宋简体" w:hAnsi="宋体" w:eastAsia="方正小标宋简体" w:cs="宋体"/>
                <w:kern w:val="0"/>
                <w:szCs w:val="21"/>
              </w:rPr>
            </w:pPr>
            <w:r>
              <w:rPr>
                <w:rFonts w:hint="eastAsia" w:ascii="方正小标宋简体" w:hAnsi="宋体" w:eastAsia="方正小标宋简体" w:cs="宋体"/>
                <w:kern w:val="0"/>
                <w:szCs w:val="21"/>
              </w:rPr>
              <w:t>境外金融信息服务商</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经济通有限公司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ET Net Limited</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天汇财经有限公司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MegaHub Limited</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中港新闻集团有限公司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China Hong Kong News Group Limited</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4</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并购市场资讯有限公司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Mergermarket Consulting Limited</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5</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达易国际金融资讯有限公司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Dealogic Limited</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6</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英富曼集团有限公司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Informa Group Limited</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7</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彭博有限合伙企业</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Bloomberg L.P.</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8</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道琼斯公司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Dow Jones＆Company，Inc.</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9</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标普全球亚太有限责任公司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S＆P Global Asia Pacific LLC</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10</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芝加哥商业交易所股份有限公司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Chicago Mercantile Exchange Inc.</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11</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毅联汇业信息服务有限公司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ICAP Information Services Limited</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12</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慧甚英国有限公司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FactSet UK Limited</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13</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香港交易所咨询服务（中国）有限公司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HKEX Information Services（China） Limited</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14</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英国博跃有限公司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MSCI Limited</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15</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伦敦金属交易所</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The London Metal Exchange</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16</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万思迪研究国际有限公司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13D Research International Limited</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17</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株式会社时事通信社</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Jiji Press，Ltd.</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18</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艾斯（ICE）数据服务（香港）有限公司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ICE Data Services Hong Kong Limited</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19</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阿斯达克有限公司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AAStocks Limited</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20</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德利万邦信息有限公司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Tullett Prebon Information Limited</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21</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观察家集团有限责任公司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Observatory Group LLC</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22</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博程研究公司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BCA Research Inc.</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23</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惠誉解决方案亚洲私人有限公司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Fitch Solutions Asia Pte.Ltd.</w:t>
            </w:r>
          </w:p>
        </w:tc>
      </w:tr>
      <w:tr>
        <w:tblPrEx>
          <w:tblCellMar>
            <w:top w:w="0" w:type="dxa"/>
            <w:left w:w="108" w:type="dxa"/>
            <w:bottom w:w="0" w:type="dxa"/>
            <w:right w:w="108" w:type="dxa"/>
          </w:tblCellMar>
        </w:tblPrEx>
        <w:trPr>
          <w:trHeight w:val="48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24</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香港万得资讯有限公司</w:t>
            </w:r>
            <w:r>
              <w:rPr>
                <w:rFonts w:hint="eastAsia" w:ascii="仿宋_GB2312" w:hAnsi="宋体" w:eastAsia="仿宋_GB2312" w:cs="宋体"/>
                <w:kern w:val="0"/>
                <w:szCs w:val="21"/>
              </w:rPr>
              <w:br w:type="textWrapping"/>
            </w:r>
            <w:r>
              <w:rPr>
                <w:rFonts w:hint="eastAsia" w:ascii="仿宋_GB2312" w:hAnsi="宋体" w:eastAsia="仿宋_GB2312" w:cs="宋体"/>
                <w:kern w:val="0"/>
                <w:szCs w:val="21"/>
              </w:rPr>
              <w:t>Wind Information（HK） Company Limited</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25</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迪罗基信息技术服务（北京）有限公司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26</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路孚特信息服务（中国）有限公司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27</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美新通德财经资讯（北京）有限公司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28</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上海时讯商务咨询有限公司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29</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富金时（北京）咨询有限公司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30</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上海司尔亚司数据信息有限公司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31</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网安咨询（上海）有限公司</w:t>
            </w:r>
          </w:p>
        </w:tc>
      </w:tr>
      <w:tr>
        <w:tblPrEx>
          <w:tblCellMar>
            <w:top w:w="0" w:type="dxa"/>
            <w:left w:w="108" w:type="dxa"/>
            <w:bottom w:w="0" w:type="dxa"/>
            <w:right w:w="108" w:type="dxa"/>
          </w:tblCellMar>
        </w:tblPrEx>
        <w:trPr>
          <w:trHeight w:val="240" w:hRule="atLeast"/>
        </w:trPr>
        <w:tc>
          <w:tcPr>
            <w:tcW w:w="993"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32</w:t>
            </w:r>
          </w:p>
        </w:tc>
        <w:tc>
          <w:tcPr>
            <w:tcW w:w="7229" w:type="dxa"/>
            <w:tcBorders>
              <w:top w:val="nil"/>
              <w:left w:val="nil"/>
              <w:bottom w:val="single" w:color="auto" w:sz="4" w:space="0"/>
              <w:right w:val="single" w:color="auto" w:sz="4" w:space="0"/>
            </w:tcBorders>
            <w:shd w:val="clear" w:color="auto" w:fill="auto"/>
            <w:vAlign w:val="center"/>
          </w:tcPr>
          <w:p>
            <w:pPr>
              <w:widowControl/>
              <w:jc w:val="center"/>
              <w:rPr>
                <w:rFonts w:hint="eastAsia" w:ascii="仿宋_GB2312" w:hAnsi="宋体" w:eastAsia="仿宋_GB2312" w:cs="宋体"/>
                <w:kern w:val="0"/>
                <w:szCs w:val="21"/>
              </w:rPr>
            </w:pPr>
            <w:r>
              <w:rPr>
                <w:rFonts w:hint="eastAsia" w:ascii="仿宋_GB2312" w:hAnsi="宋体" w:eastAsia="仿宋_GB2312" w:cs="宋体"/>
                <w:kern w:val="0"/>
                <w:szCs w:val="21"/>
              </w:rPr>
              <w:t>穆迪信息咨询（深圳）有限公司</w:t>
            </w:r>
          </w:p>
        </w:tc>
      </w:tr>
    </w:tbl>
    <w:p>
      <w:pPr>
        <w:rPr>
          <w:szCs w:val="21"/>
        </w:rPr>
      </w:pPr>
    </w:p>
    <w:p>
      <w:pPr>
        <w:widowControl/>
        <w:jc w:val="left"/>
        <w:rPr>
          <w:rFonts w:hint="eastAsia" w:ascii="宋体" w:hAnsi="宋体" w:eastAsia="宋体"/>
          <w:szCs w:val="21"/>
        </w:rPr>
      </w:pPr>
      <w:r>
        <w:rPr>
          <w:rFonts w:ascii="宋体" w:hAnsi="宋体" w:eastAsia="宋体"/>
          <w:szCs w:val="21"/>
        </w:rPr>
        <w:br w:type="page"/>
      </w:r>
    </w:p>
    <w:p>
      <w:pPr>
        <w:adjustRightInd w:val="0"/>
        <w:snapToGrid w:val="0"/>
        <w:spacing w:line="312" w:lineRule="auto"/>
        <w:ind w:firstLine="420" w:firstLineChars="200"/>
        <w:rPr>
          <w:rFonts w:hint="eastAsia" w:ascii="仿宋" w:hAnsi="仿宋" w:eastAsia="仿宋" w:cs="黑体"/>
          <w:szCs w:val="21"/>
        </w:rPr>
      </w:pPr>
      <w:r>
        <w:rPr>
          <w:rFonts w:hint="eastAsia" w:ascii="仿宋" w:hAnsi="仿宋" w:eastAsia="仿宋" w:cs="黑体"/>
          <w:szCs w:val="21"/>
        </w:rPr>
        <w:t>附件3-1</w:t>
      </w:r>
    </w:p>
    <w:p>
      <w:pPr>
        <w:adjustRightInd w:val="0"/>
        <w:snapToGrid w:val="0"/>
        <w:spacing w:line="312" w:lineRule="auto"/>
        <w:ind w:firstLine="420" w:firstLineChars="200"/>
        <w:rPr>
          <w:rFonts w:hint="eastAsia" w:ascii="仿宋" w:hAnsi="仿宋" w:eastAsia="仿宋" w:cs="黑体"/>
          <w:szCs w:val="21"/>
        </w:rPr>
      </w:pPr>
    </w:p>
    <w:p>
      <w:pPr>
        <w:adjustRightInd w:val="0"/>
        <w:snapToGrid w:val="0"/>
        <w:spacing w:line="312" w:lineRule="auto"/>
        <w:ind w:firstLine="420" w:firstLineChars="200"/>
        <w:jc w:val="center"/>
        <w:rPr>
          <w:rFonts w:hint="eastAsia" w:ascii="仿宋" w:hAnsi="仿宋" w:eastAsia="仿宋" w:cs="楷体_GB2312"/>
          <w:szCs w:val="21"/>
        </w:rPr>
      </w:pPr>
      <w:r>
        <w:rPr>
          <w:rFonts w:hint="eastAsia" w:ascii="仿宋" w:hAnsi="仿宋" w:eastAsia="仿宋" w:cs="方正小标宋简体"/>
          <w:szCs w:val="21"/>
        </w:rPr>
        <w:t>货币经纪公司提供数据服务协议框架</w:t>
      </w:r>
      <w:r>
        <w:rPr>
          <w:rFonts w:hint="eastAsia" w:ascii="仿宋" w:hAnsi="仿宋" w:eastAsia="仿宋" w:cs="楷体_GB2312"/>
          <w:szCs w:val="21"/>
        </w:rPr>
        <w:t>（金融基础设施版）</w:t>
      </w:r>
    </w:p>
    <w:p>
      <w:pPr>
        <w:adjustRightInd w:val="0"/>
        <w:snapToGrid w:val="0"/>
        <w:spacing w:line="312" w:lineRule="auto"/>
        <w:ind w:firstLine="420" w:firstLineChars="200"/>
        <w:rPr>
          <w:rFonts w:hint="eastAsia" w:ascii="仿宋" w:hAnsi="仿宋" w:eastAsia="仿宋" w:cs="楷体_GB2312"/>
          <w:szCs w:val="21"/>
        </w:rPr>
      </w:pPr>
    </w:p>
    <w:p>
      <w:pPr>
        <w:tabs>
          <w:tab w:val="left" w:pos="312"/>
        </w:tabs>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一、货币经纪公司向金融基础设施提供数据服务，双方应签订协议，明确双方的权利义务关系，确保数据提供和使用的合法性、合规性和安全性。</w:t>
      </w:r>
    </w:p>
    <w:p>
      <w:pPr>
        <w:tabs>
          <w:tab w:val="left" w:pos="312"/>
        </w:tabs>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Times New Roman"/>
          <w:color w:val="000000"/>
          <w:szCs w:val="21"/>
        </w:rPr>
        <w:t>二、</w:t>
      </w:r>
      <w:r>
        <w:rPr>
          <w:rFonts w:hint="eastAsia" w:ascii="仿宋" w:hAnsi="仿宋" w:eastAsia="仿宋" w:cs="仿宋_GB2312"/>
          <w:szCs w:val="21"/>
        </w:rPr>
        <w:t>货币经纪公司与金融基础设施</w:t>
      </w:r>
      <w:r>
        <w:rPr>
          <w:rFonts w:hint="eastAsia" w:ascii="仿宋" w:hAnsi="仿宋" w:eastAsia="仿宋" w:cs="Times New Roman"/>
          <w:color w:val="000000"/>
          <w:szCs w:val="21"/>
        </w:rPr>
        <w:t>签订协议，不得附带排他性、限制竞争性条款。</w:t>
      </w:r>
      <w:r>
        <w:rPr>
          <w:rFonts w:hint="eastAsia" w:ascii="仿宋" w:hAnsi="仿宋" w:eastAsia="仿宋" w:cs="仿宋_GB2312"/>
          <w:szCs w:val="21"/>
        </w:rPr>
        <w:t>双方在协议中应明确提供数据类型、数据内容、数据用途、授权范围、载体方式等内容。</w:t>
      </w:r>
    </w:p>
    <w:p>
      <w:pPr>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三、货币经纪公司除了按监管规定需向金融基础设施报送的数据之外，可根据提供数据的类型数量、是否对数据进行加工衍生处理、数据</w:t>
      </w:r>
      <w:r>
        <w:rPr>
          <w:rFonts w:hint="eastAsia" w:ascii="仿宋" w:hAnsi="仿宋" w:eastAsia="仿宋"/>
          <w:szCs w:val="21"/>
        </w:rPr>
        <w:t>推送频率、</w:t>
      </w:r>
      <w:r>
        <w:rPr>
          <w:rFonts w:hint="eastAsia" w:ascii="仿宋" w:hAnsi="仿宋" w:eastAsia="仿宋" w:cs="仿宋_GB2312"/>
          <w:szCs w:val="21"/>
        </w:rPr>
        <w:t>数据传输和维护成本等，向金融基础设施收取合理费用。</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cs="Times New Roman"/>
          <w:color w:val="000000"/>
          <w:szCs w:val="21"/>
        </w:rPr>
        <w:t>四、货币经纪公司向各类金融基础设施提供相同类型标准的数据，</w:t>
      </w:r>
      <w:r>
        <w:rPr>
          <w:rFonts w:hint="eastAsia" w:ascii="仿宋" w:hAnsi="仿宋" w:eastAsia="仿宋"/>
          <w:szCs w:val="21"/>
        </w:rPr>
        <w:t>收费标准应一致；</w:t>
      </w:r>
      <w:r>
        <w:rPr>
          <w:rFonts w:hint="eastAsia" w:ascii="仿宋" w:hAnsi="仿宋" w:eastAsia="仿宋" w:cs="Times New Roman"/>
          <w:color w:val="000000"/>
          <w:szCs w:val="21"/>
        </w:rPr>
        <w:t>无正当理由不得拒绝金融机构通过金融基础设施购买、接收、下载相关数据。</w:t>
      </w:r>
    </w:p>
    <w:p>
      <w:pPr>
        <w:tabs>
          <w:tab w:val="left" w:pos="312"/>
        </w:tabs>
        <w:adjustRightInd w:val="0"/>
        <w:snapToGrid w:val="0"/>
        <w:spacing w:line="312" w:lineRule="auto"/>
        <w:ind w:firstLine="420" w:firstLineChars="200"/>
        <w:rPr>
          <w:rFonts w:hint="eastAsia" w:ascii="仿宋" w:hAnsi="仿宋" w:eastAsia="仿宋" w:cs="Times New Roman"/>
          <w:color w:val="000000"/>
          <w:szCs w:val="21"/>
        </w:rPr>
      </w:pPr>
      <w:r>
        <w:rPr>
          <w:rFonts w:hint="eastAsia" w:ascii="仿宋" w:hAnsi="仿宋" w:eastAsia="仿宋" w:cs="仿宋_GB2312"/>
          <w:szCs w:val="21"/>
        </w:rPr>
        <w:t>五、金融基础设施与货币经纪公司数据合作以履行金融基础设施职能为目的的，未经货币经纪公司授权同意，不得向</w:t>
      </w:r>
      <w:r>
        <w:rPr>
          <w:rFonts w:hint="eastAsia" w:ascii="仿宋" w:hAnsi="仿宋" w:eastAsia="仿宋" w:cs="Times New Roman"/>
          <w:color w:val="000000"/>
          <w:szCs w:val="21"/>
        </w:rPr>
        <w:t>本单位用户以及其他主体销售、转发相关数据或提供数据下载等。</w:t>
      </w:r>
    </w:p>
    <w:p>
      <w:pPr>
        <w:tabs>
          <w:tab w:val="left" w:pos="312"/>
        </w:tabs>
        <w:adjustRightInd w:val="0"/>
        <w:snapToGrid w:val="0"/>
        <w:spacing w:line="312" w:lineRule="auto"/>
        <w:ind w:firstLine="420" w:firstLineChars="200"/>
        <w:rPr>
          <w:rFonts w:hint="eastAsia" w:ascii="仿宋" w:hAnsi="仿宋" w:eastAsia="仿宋" w:cs="Times New Roman"/>
          <w:color w:val="000000"/>
          <w:szCs w:val="21"/>
        </w:rPr>
      </w:pPr>
      <w:r>
        <w:rPr>
          <w:rFonts w:hint="eastAsia" w:ascii="仿宋" w:hAnsi="仿宋" w:eastAsia="仿宋" w:cs="Times New Roman"/>
          <w:color w:val="000000"/>
          <w:szCs w:val="21"/>
        </w:rPr>
        <w:t>六、金融基础设施将货币经纪公司数据用于商业用途的，应当参照金融信息服务商和货币经纪公司开展数据合作的要求，与货币经纪公司另行签订协议。</w:t>
      </w:r>
    </w:p>
    <w:p>
      <w:pPr>
        <w:pStyle w:val="15"/>
        <w:adjustRightInd w:val="0"/>
        <w:snapToGrid w:val="0"/>
        <w:spacing w:line="312" w:lineRule="auto"/>
        <w:ind w:firstLine="420" w:firstLineChars="200"/>
        <w:jc w:val="both"/>
        <w:rPr>
          <w:rFonts w:hint="eastAsia" w:ascii="仿宋" w:hAnsi="仿宋" w:eastAsia="仿宋"/>
          <w:color w:val="000000"/>
          <w:szCs w:val="21"/>
          <w:highlight w:val="yellow"/>
        </w:rPr>
      </w:pPr>
      <w:r>
        <w:rPr>
          <w:rFonts w:hint="eastAsia" w:ascii="仿宋" w:hAnsi="仿宋" w:eastAsia="仿宋"/>
          <w:szCs w:val="21"/>
        </w:rPr>
        <w:t>七、金融基础设施发布最优报价应遵循公平原则，确保各货币经纪公司提供的最优报价能够完整、及时向市场展示。</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八、对于向境外提供数据的，货币经纪公司和金融基础设施应严格落实国家和监管部门有关数据出境安全管理要求，加强数据安全保护，杜绝数据跨境传输安全隐患。</w:t>
      </w:r>
    </w:p>
    <w:p>
      <w:pPr>
        <w:adjustRightInd w:val="0"/>
        <w:snapToGrid w:val="0"/>
        <w:spacing w:line="312" w:lineRule="auto"/>
        <w:ind w:firstLine="420" w:firstLineChars="200"/>
        <w:rPr>
          <w:rFonts w:hint="eastAsia" w:ascii="仿宋" w:hAnsi="仿宋" w:eastAsia="仿宋"/>
          <w:szCs w:val="21"/>
        </w:rPr>
      </w:pPr>
      <w:r>
        <w:rPr>
          <w:rFonts w:hint="eastAsia" w:ascii="仿宋" w:hAnsi="仿宋" w:eastAsia="仿宋"/>
          <w:szCs w:val="21"/>
        </w:rPr>
        <w:t>九、法律法规和监管另有规定的，协议双方应当依据相关法律法规和监管规定开展本协议项下合作。</w:t>
      </w:r>
    </w:p>
    <w:p>
      <w:pPr>
        <w:adjustRightInd w:val="0"/>
        <w:snapToGrid w:val="0"/>
        <w:spacing w:line="312" w:lineRule="auto"/>
        <w:ind w:firstLine="420" w:firstLineChars="200"/>
        <w:rPr>
          <w:rFonts w:hint="eastAsia" w:ascii="仿宋" w:hAnsi="仿宋" w:eastAsia="仿宋"/>
          <w:szCs w:val="21"/>
        </w:rPr>
      </w:pPr>
    </w:p>
    <w:p>
      <w:pPr>
        <w:adjustRightInd w:val="0"/>
        <w:snapToGrid w:val="0"/>
        <w:spacing w:line="312" w:lineRule="auto"/>
        <w:ind w:firstLine="420" w:firstLineChars="200"/>
        <w:rPr>
          <w:rFonts w:hint="eastAsia" w:ascii="仿宋" w:hAnsi="仿宋" w:eastAsia="仿宋" w:cs="黑体"/>
          <w:szCs w:val="21"/>
        </w:rPr>
      </w:pPr>
    </w:p>
    <w:p>
      <w:pPr>
        <w:widowControl/>
        <w:jc w:val="left"/>
        <w:rPr>
          <w:rFonts w:hint="eastAsia" w:ascii="仿宋" w:hAnsi="仿宋" w:eastAsia="仿宋"/>
          <w:szCs w:val="21"/>
        </w:rPr>
      </w:pPr>
      <w:r>
        <w:rPr>
          <w:rFonts w:ascii="仿宋" w:hAnsi="仿宋" w:eastAsia="仿宋"/>
          <w:szCs w:val="21"/>
        </w:rPr>
        <w:br w:type="page"/>
      </w:r>
    </w:p>
    <w:p>
      <w:pPr>
        <w:adjustRightInd w:val="0"/>
        <w:snapToGrid w:val="0"/>
        <w:spacing w:line="312" w:lineRule="auto"/>
        <w:ind w:firstLine="420" w:firstLineChars="200"/>
        <w:rPr>
          <w:rFonts w:hint="eastAsia" w:ascii="仿宋" w:hAnsi="仿宋" w:eastAsia="仿宋" w:cs="黑体"/>
          <w:szCs w:val="21"/>
        </w:rPr>
      </w:pPr>
      <w:r>
        <w:rPr>
          <w:rFonts w:hint="eastAsia" w:ascii="仿宋" w:hAnsi="仿宋" w:eastAsia="仿宋" w:cs="黑体"/>
          <w:szCs w:val="21"/>
        </w:rPr>
        <w:t>附件3-2</w:t>
      </w:r>
    </w:p>
    <w:p>
      <w:pPr>
        <w:adjustRightInd w:val="0"/>
        <w:snapToGrid w:val="0"/>
        <w:spacing w:line="312" w:lineRule="auto"/>
        <w:ind w:firstLine="420" w:firstLineChars="200"/>
        <w:rPr>
          <w:rFonts w:hint="eastAsia" w:ascii="仿宋" w:hAnsi="仿宋" w:eastAsia="仿宋" w:cs="方正小标宋简体"/>
          <w:szCs w:val="21"/>
        </w:rPr>
      </w:pPr>
    </w:p>
    <w:p>
      <w:pPr>
        <w:adjustRightInd w:val="0"/>
        <w:snapToGrid w:val="0"/>
        <w:spacing w:line="312" w:lineRule="auto"/>
        <w:ind w:firstLine="422" w:firstLineChars="200"/>
        <w:jc w:val="center"/>
        <w:rPr>
          <w:rFonts w:hint="eastAsia" w:ascii="仿宋" w:hAnsi="仿宋" w:eastAsia="仿宋" w:cs="楷体_GB2312"/>
          <w:b/>
          <w:bCs/>
          <w:szCs w:val="21"/>
        </w:rPr>
      </w:pPr>
      <w:r>
        <w:rPr>
          <w:rFonts w:hint="eastAsia" w:ascii="仿宋" w:hAnsi="仿宋" w:eastAsia="仿宋" w:cs="方正小标宋简体"/>
          <w:b/>
          <w:bCs/>
          <w:szCs w:val="21"/>
        </w:rPr>
        <w:t>货币经纪公司提供数据服务协议框架</w:t>
      </w:r>
      <w:r>
        <w:rPr>
          <w:rFonts w:hint="eastAsia" w:ascii="仿宋" w:hAnsi="仿宋" w:eastAsia="仿宋" w:cs="楷体_GB2312"/>
          <w:b/>
          <w:bCs/>
          <w:szCs w:val="21"/>
        </w:rPr>
        <w:t>（金融信息服务商版）</w:t>
      </w:r>
    </w:p>
    <w:p>
      <w:pPr>
        <w:tabs>
          <w:tab w:val="left" w:pos="312"/>
        </w:tabs>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一、货币经纪公司向金融信息服务商提供数据服务，双方应签订协议，明确双方的权利义务关系，确保数据提供和使用的合法性、合规性和安全性。</w:t>
      </w:r>
    </w:p>
    <w:p>
      <w:pPr>
        <w:tabs>
          <w:tab w:val="left" w:pos="312"/>
        </w:tabs>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二、货币经纪公司与金融信息服务商签订协议，不得附带排他性、限制竞争性条款。双方在协议中应明确提供数据类型、数据内容、数据展示、数据用途、授权范围、载体方式等内容。</w:t>
      </w:r>
    </w:p>
    <w:p>
      <w:pPr>
        <w:tabs>
          <w:tab w:val="left" w:pos="312"/>
        </w:tabs>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三、货币经纪公司应对拟合作的金融信息服务商开展尽职调查，确认其在国家网信办备案或许可、依法合规展业的前提下方可准入。货币经纪公司应持续对金融信息服务商运营情况和数据使用情况进行跟踪监测。</w:t>
      </w:r>
    </w:p>
    <w:p>
      <w:pPr>
        <w:tabs>
          <w:tab w:val="left" w:pos="312"/>
        </w:tabs>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lang w:bidi="ar"/>
        </w:rPr>
        <w:t>四</w:t>
      </w:r>
      <w:r>
        <w:rPr>
          <w:rFonts w:hint="eastAsia" w:ascii="仿宋" w:hAnsi="仿宋" w:eastAsia="仿宋" w:cs="仿宋_GB2312"/>
          <w:szCs w:val="21"/>
        </w:rPr>
        <w:t>、货币经纪公司根据提供数据的类型数量、是否对数据进行加工衍生处理、数据推送频率、数据传输和维护成本等，向金融信息服务商收取合理费用。</w:t>
      </w:r>
    </w:p>
    <w:p>
      <w:pPr>
        <w:tabs>
          <w:tab w:val="left" w:pos="312"/>
        </w:tabs>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五、货币经纪公司应按市场化原则与各类境内外金融信息服务商开展合作；对相同类型标准的数据，收费标准应一致。</w:t>
      </w:r>
    </w:p>
    <w:p>
      <w:pPr>
        <w:tabs>
          <w:tab w:val="left" w:pos="312"/>
        </w:tabs>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六、未经货币经纪公司授权同意，金融信息服务商不得自行使用及扩散相关数据，或向本公司用户以及其他主体销售、转发相关数据或提供数据下载等。</w:t>
      </w:r>
    </w:p>
    <w:p>
      <w:pPr>
        <w:tabs>
          <w:tab w:val="left" w:pos="312"/>
        </w:tabs>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七、金融信息服务商发布最优报价应遵循公平原则，确保各货币经纪公司提供的最优报价能够完整、及时向市场展示。</w:t>
      </w:r>
    </w:p>
    <w:p>
      <w:pPr>
        <w:tabs>
          <w:tab w:val="left" w:pos="312"/>
        </w:tabs>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八、对于向境外提供数据的，货币经纪公司和金融信息服务商应严格落实国家和监管部门有关数据出境安全管理要求，加强数据安全保护，杜绝数据跨境传输安全隐患。</w:t>
      </w:r>
    </w:p>
    <w:p>
      <w:pPr>
        <w:tabs>
          <w:tab w:val="left" w:pos="312"/>
        </w:tabs>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九、货币经纪公司向估值类机构提供数据服务，参照本协议框架。</w:t>
      </w:r>
    </w:p>
    <w:p>
      <w:pPr>
        <w:tabs>
          <w:tab w:val="left" w:pos="312"/>
        </w:tabs>
        <w:adjustRightInd w:val="0"/>
        <w:snapToGrid w:val="0"/>
        <w:spacing w:line="312" w:lineRule="auto"/>
        <w:ind w:firstLine="420" w:firstLineChars="200"/>
        <w:rPr>
          <w:rFonts w:hint="eastAsia" w:ascii="仿宋" w:hAnsi="仿宋" w:eastAsia="仿宋" w:cs="仿宋_GB2312"/>
          <w:szCs w:val="21"/>
        </w:rPr>
      </w:pPr>
      <w:r>
        <w:rPr>
          <w:rFonts w:hint="eastAsia" w:ascii="仿宋" w:hAnsi="仿宋" w:eastAsia="仿宋" w:cs="仿宋_GB2312"/>
          <w:szCs w:val="21"/>
        </w:rPr>
        <w:t>十、法律法规和监管另有规定的，协议双方应当依据相关法律法规和监管规定开展本协议项下合作。</w:t>
      </w:r>
    </w:p>
    <w:p>
      <w:pPr>
        <w:tabs>
          <w:tab w:val="left" w:pos="312"/>
        </w:tabs>
        <w:adjustRightInd w:val="0"/>
        <w:snapToGrid w:val="0"/>
        <w:spacing w:line="312" w:lineRule="auto"/>
        <w:ind w:firstLine="420" w:firstLineChars="200"/>
        <w:rPr>
          <w:rFonts w:hint="eastAsia" w:ascii="宋体" w:hAnsi="宋体" w:eastAsia="宋体" w:cs="仿宋_GB2312"/>
          <w:szCs w:val="21"/>
        </w:rPr>
      </w:pPr>
    </w:p>
    <w:p>
      <w:pPr>
        <w:adjustRightInd w:val="0"/>
        <w:snapToGrid w:val="0"/>
        <w:spacing w:line="312" w:lineRule="auto"/>
        <w:jc w:val="left"/>
        <w:rPr>
          <w:rFonts w:hint="eastAsia" w:ascii="宋体" w:hAnsi="宋体" w:eastAsia="宋体"/>
          <w:szCs w:val="21"/>
        </w:rPr>
      </w:pPr>
    </w:p>
    <w:p>
      <w:pPr>
        <w:widowControl/>
        <w:jc w:val="left"/>
        <w:rPr>
          <w:rFonts w:hint="eastAsia" w:ascii="宋体" w:hAnsi="宋体" w:eastAsia="宋体"/>
        </w:rPr>
      </w:pPr>
      <w:r>
        <w:rPr>
          <w:rFonts w:ascii="宋体" w:hAnsi="宋体" w:eastAsia="宋体"/>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