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98" w:name="_Toc14654"/>
      <w:r>
        <w:rPr>
          <w:rFonts w:hint="eastAsia"/>
        </w:rPr>
        <w:t xml:space="preserve">852--国家金融监督管理总局关于促进金融租赁公司规范经营和合规管理的通知 </w:t>
      </w:r>
      <w:r>
        <w:rPr>
          <w:rFonts w:hint="eastAsia"/>
        </w:rPr>
        <w:br w:type="textWrapping"/>
      </w:r>
      <w:r>
        <w:rPr>
          <w:rFonts w:hint="eastAsia"/>
        </w:rPr>
        <w:t>金规〔2023〕8号</w:t>
      </w:r>
      <w:bookmarkEnd w:id="2598"/>
    </w:p>
    <w:p>
      <w:pPr>
        <w:adjustRightInd w:val="0"/>
        <w:snapToGrid w:val="0"/>
        <w:spacing w:line="312" w:lineRule="auto"/>
        <w:rPr>
          <w:rFonts w:hint="eastAsia" w:ascii="仿宋" w:hAnsi="仿宋" w:eastAsia="仿宋" w:cs="仿宋"/>
        </w:rPr>
      </w:pPr>
      <w:r>
        <w:rPr>
          <w:rFonts w:hint="eastAsia" w:ascii="仿宋" w:hAnsi="仿宋" w:eastAsia="仿宋" w:cs="仿宋"/>
          <w:lang w:bidi="ar"/>
        </w:rPr>
        <w:t>各监管局：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为深入贯彻落实党中央、国务院决策部署，完善金融租赁公司监管制度，深化对行业发展的规律性认识，推动金融租赁行业从服务经济社会高质量发展大局出发，找准功能定位，聚焦主责主业，为实体经济提供特色化金融服务，纠正部分金融租赁公司存在的大股东不当干预、公司治理和内控机制缺陷、租赁物管理不到位等问题，现就加强金融监管、促进金融租赁公司规范经营和合规管理有关要求通知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一、健全公司治理和内控管理机制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加强党的领导。金融租赁公司应当构建“党委领导、董事会战略决策、管理层执行落实”的治理运行机制。国有资本占主体的公司应当将党的领导融入公司治理各个环节，把党委研究讨论作为决策重大经营管理事项的前置程序。民营或其他社会资本占主体的公司，应当依法建立党的组织机构，发挥好党组织的政治核心作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严格股东股权管理。金融租赁公司应当加强股东股权管理，有效落实董事会股权事务管理的最终责任，压实董事长的第一责任，依法依规做好股权信息登记、关联交易管理和信息披露等工作。及时披露实际控制人及其控制本公司情况、主要股东及其持股比例变化情况、股东大会职责和主要决议等公司治理信息。要通过实地走访、调阅资料、网络信息监测等多种方式，及时掌握股东经营管理变化情况及异常行为，按规定向监管部门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规范董事和高管人员履职行为。金融租赁公司应当每年对董事履职情况开展评价，对于存在接受不正当利益或者利用董事地位谋取私利、参与或协助股东进行不当干预造成重大风险和损失等情形的董事,应当评定为不称职，按程序罢免或建议股东罢免相关董事，并相应扣减其部分或全部绩效薪酬。要保障高管人员在其职权范围内依法开展经营管理活动，不受大股东和董事不当干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强化内控和合规管理。金融租赁公司应当建立健全“三道防线”，有效落实业务部门的主体责任、内部控制和合规管理部门的管理责任以及内部审计部门的监督责任，发挥三者之间制衡约束作用。内部控制和合规管理部门及相关岗位不得承担与其部门、岗位职责相冲突的其他职责。内审部门应当定期对公司的内部控制和合规管理情况开展审计，及时向董事会及监管部门报告审计发现、巡视移交的问题及案件线索，并监督整改落实。</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二、规范融资租赁经营行为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提升服务实体经济专业能力。金融租赁公司应当突出金融租赁特色，回归以融资和融物相结合的经营模式。积极探索支持与大型设备、大飞机、新能源船舶、首台（套）设备、重大技术装备、集成电路设备等设备类资产制造和使用相适配的业务模式，提升行业服务传统产业改造升级、战略性新兴产业和先进制造业的能力和水平。进一步发挥售后回租业务普惠金融功能优势，助力小微企业、涉农企业盘活设备资产，推动创新升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规范租赁物及租赁业务模式。金融租赁公司应当加强租赁物适格性管理，确保租赁物权属清晰、特定化、可处置、具备经济价值并能够产生使用收益。严禁将古玩玉石、字画、办公桌椅、报刊书架、低值易耗品作为租赁物，严禁以乘用车之外的消费品作为租赁物，严禁新增非设备类售后回租业务。严格规范与同业及其他机构的业务合作，不得协助承租人或合作机构虚构贸易背景，通过福费廷、国内信用证等方式违规套取金融机构资金，进行监管套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优化租赁业务结构。金融租赁公司要转变经营理念和发展方式，大力培养租赁、法律、税收等方面专业人才，加大对租赁细分行业领域的研发投入，紧紧围绕企业新购设备资产融资需求，逐步提升直接租赁业务能力。要合理控制业务增速和杠杆水平，加强新增业务中售后回租业务的限额管理。2024年新增业务中售后回租业务占比相比2023年前三季度要下降15个百分点，力争在2026年实现年度新增直租业务占比不低于50%的目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八）强化租赁物价值评估管理。金融租赁公司应当建立健全租赁物价值评估体系，制定估值定价管理办法，明确估值程序、因素和方法，合理确定租赁物资产价值，不得低值高买。要按照评购分离、评处分离、集体审查的原则，优化部门设置和岗位职责分工，负责评估和定价的部门及人员原则上要与负责购买和处置租赁资产的部门及人员分离。加强评估机构管理，建立评估机构库，明确准入和退出标准。金融租赁公司的评估工作人员应当具备评估专业资质，深入分析评价评估机构采用的评估方法的合理性及可信度，不得简单以外部评估结果代替自身调查、取证和分析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三、有的放矢提升金融监管有效性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九）做好持续性监管。各监管局要充分发扬恪尽职守、敢于监管、精于监管、严格问责的监管精神，按照穿透原则强化对股东股权和公司治理的监管，做好对董事履职评价工作的监督。对于公司治理监管评估结果为D级、E级的公司，应当至少每年开展一次董事履职情况监管评价。要将金融租赁公司重点问题和风险隐患纳入监管发现问题整改机制，强化问题整改的督促、指导和协调，及时采取有效监管措施，对风险进行早期干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加大监管查处力度。各监管局要提高风险敏感性，主动检查发现并依法查处股东恶意操控甚至掏空机构等行为，及时采取责令控股股东转让股权、限制股东权利、禁止与特定关联方开展交易等监管强制措施，依法依规将重大违法违规股东对外公告。依法整治融资租赁业务乱象，坚决查处租赁物权属不清晰、不适格或低值高买、虚构租赁物等问题，严肃惩戒金融租赁公司及相关违法违规人员，对于情节严重的，依法采取取消董事和高管人员任职资格、禁止人员从业等监管措施。对于公司自查发现并主动报告监管部门尚未掌握的违法违规行为的，各监管局应当依法从轻或减轻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四、建立健全监管协作机制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一）完善三方会谈机制。各监管局要做实监管部门、金融租赁公司和外审机构之间的定期会谈机制，每个年度监管周期后要及时举行三方会谈，提出监管意见，明确监管导向，充分掌握审计发现问题，深入了解外审机构执业状况。支持和鼓励外审机构根据审计准则依法开展外部审计，及时纠正金融租赁公司对外审机构工作的不当影响或干扰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二）加快构建良好金融生态环境。各监管局要加强与会计审计、资产评估、信用评级、法律咨询等社会中介服务机构相关行业主管部门沟通联动，协同加强对相关机构及从业人员的监督管理，严格规范其执业行为，加大违规问责力度。发现相关中介机构及从业人员存在出具虚假报告等违法违规行为，应当责令金融租赁公司予以更换，按照合同约定依法追回服务费用、追偿损失，并通报相关行业主管部门予以严肃惩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三）加强金融反腐合作。各监管局要加强监审联动、监纪联动和信息共享，定期与金融租赁公司内审和纪检监察部门沟通协作，形成监督合力，对巡视、审计等部门移交的问题线索，要及时启动核查或调查程序。加强行刑衔接，认真落实案件线索移送机制，在监管工作中发现大股东恶意掏空、工作人员利用职务之便索取、收受贿赂或者违反规定收受各种名义的回扣、手续费，贪污、挪用、侵占金融机构或者客户资金等涉嫌违法犯罪的问题线索，要及时移送纪检监察机关或司法机关，一体推进“三不腐”，严厉打击金融犯罪，坚决遏制金融租赁行业的违法案件。</w:t>
      </w:r>
    </w:p>
    <w:p>
      <w:pPr>
        <w:adjustRightInd w:val="0"/>
        <w:snapToGrid w:val="0"/>
        <w:spacing w:line="312" w:lineRule="auto"/>
        <w:ind w:firstLine="420" w:firstLineChars="200"/>
        <w:rPr>
          <w:rFonts w:hint="eastAsia" w:ascii="仿宋" w:hAnsi="仿宋" w:eastAsia="仿宋" w:cs="仿宋"/>
          <w:lang w:bidi="ar"/>
        </w:rPr>
      </w:pPr>
      <w:r>
        <w:rPr>
          <w:rFonts w:hint="eastAsia" w:ascii="仿宋" w:hAnsi="仿宋" w:eastAsia="仿宋" w:cs="仿宋"/>
          <w:lang w:bidi="ar"/>
        </w:rPr>
        <w:t>请各监管局将本通知内容转发至辖内金融租赁公司。</w:t>
      </w:r>
    </w:p>
    <w:p>
      <w:pPr>
        <w:adjustRightInd w:val="0"/>
        <w:snapToGrid w:val="0"/>
        <w:spacing w:line="312" w:lineRule="auto"/>
        <w:ind w:firstLine="420" w:firstLineChars="200"/>
        <w:rPr>
          <w:rFonts w:hint="eastAsia" w:ascii="仿宋" w:hAnsi="仿宋" w:eastAsia="仿宋" w:cs="仿宋"/>
          <w:lang w:bidi="ar"/>
        </w:rPr>
      </w:pPr>
    </w:p>
    <w:p>
      <w:pPr>
        <w:adjustRightInd w:val="0"/>
        <w:snapToGrid w:val="0"/>
        <w:spacing w:line="312" w:lineRule="auto"/>
        <w:ind w:firstLine="420" w:firstLineChars="200"/>
        <w:rPr>
          <w:rFonts w:hint="eastAsia" w:ascii="仿宋" w:hAnsi="仿宋" w:eastAsia="仿宋" w:cs="仿宋"/>
          <w:lang w:bidi="ar"/>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附件：关于融资租赁业务统计口径的说明</w:t>
      </w:r>
    </w:p>
    <w:p>
      <w:pPr>
        <w:adjustRightInd w:val="0"/>
        <w:snapToGrid w:val="0"/>
        <w:spacing w:line="312" w:lineRule="auto"/>
        <w:ind w:firstLine="420" w:firstLineChars="200"/>
        <w:rPr>
          <w:rFonts w:hint="eastAsia" w:ascii="仿宋" w:hAnsi="仿宋" w:eastAsia="仿宋" w:cs="仿宋"/>
          <w:lang w:bidi="ar"/>
        </w:rPr>
      </w:pPr>
    </w:p>
    <w:p>
      <w:pPr>
        <w:adjustRightInd w:val="0"/>
        <w:snapToGrid w:val="0"/>
        <w:spacing w:line="312" w:lineRule="auto"/>
        <w:ind w:firstLine="420" w:firstLineChars="200"/>
        <w:jc w:val="right"/>
        <w:rPr>
          <w:rFonts w:hint="eastAsia" w:ascii="仿宋" w:hAnsi="仿宋" w:eastAsia="仿宋" w:cs="仿宋"/>
          <w:lang w:bidi="ar"/>
        </w:rPr>
      </w:pP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国家金融监督管理总局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2023年10月27日</w:t>
      </w:r>
    </w:p>
    <w:p>
      <w:pPr>
        <w:adjustRightInd w:val="0"/>
        <w:snapToGrid w:val="0"/>
        <w:spacing w:line="312" w:lineRule="auto"/>
        <w:ind w:firstLine="420" w:firstLineChars="200"/>
        <w:rPr>
          <w:rFonts w:hint="eastAsia" w:ascii="仿宋" w:hAnsi="仿宋" w:eastAsia="仿宋" w:cs="仿宋"/>
          <w:lang w:bidi="ar"/>
        </w:rPr>
      </w:pPr>
    </w:p>
    <w:p>
      <w:pPr>
        <w:adjustRightInd w:val="0"/>
        <w:snapToGrid w:val="0"/>
        <w:spacing w:line="312" w:lineRule="auto"/>
        <w:ind w:firstLine="420" w:firstLineChars="200"/>
        <w:rPr>
          <w:rFonts w:hint="eastAsia" w:ascii="仿宋" w:hAnsi="仿宋" w:eastAsia="仿宋" w:cs="仿宋"/>
          <w:lang w:bidi="ar"/>
        </w:rPr>
      </w:pPr>
    </w:p>
    <w:p>
      <w:pPr>
        <w:adjustRightInd w:val="0"/>
        <w:snapToGrid w:val="0"/>
        <w:spacing w:line="312" w:lineRule="auto"/>
        <w:ind w:firstLine="420" w:firstLineChars="200"/>
        <w:rPr>
          <w:rFonts w:hint="eastAsia" w:ascii="仿宋" w:hAnsi="仿宋" w:eastAsia="仿宋" w:cs="仿宋"/>
          <w:lang w:bidi="ar"/>
        </w:rPr>
      </w:pP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w:t>
      </w:r>
    </w:p>
    <w:p>
      <w:pPr>
        <w:adjustRightInd w:val="0"/>
        <w:snapToGrid w:val="0"/>
        <w:spacing w:line="312" w:lineRule="auto"/>
        <w:ind w:firstLine="422" w:firstLineChars="200"/>
        <w:jc w:val="center"/>
        <w:rPr>
          <w:rFonts w:hint="eastAsia" w:ascii="仿宋" w:hAnsi="仿宋" w:eastAsia="仿宋" w:cs="仿宋"/>
          <w:b/>
          <w:bCs/>
        </w:rPr>
      </w:pPr>
      <w:r>
        <w:rPr>
          <w:rFonts w:hint="eastAsia" w:ascii="仿宋" w:hAnsi="仿宋" w:eastAsia="仿宋" w:cs="仿宋"/>
          <w:b/>
          <w:bCs/>
          <w:lang w:bidi="ar"/>
        </w:rPr>
        <w:t>关于融资租赁业务统计口径的说明</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各监管局和金融租赁公司在执行本通知有关要求时，可按照以下口径统计融资租赁业务：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1.第（六）条规定的设备类资产，包括同一租赁合同项下与设备安装、使用和处置不可分割的必要的配件、附属设施，但相关配件、附属设施价值合计不得超过设备资产价值。</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2.各金融租赁公司在确定第（七）条规定的售后回租业务限额时，可将以下租赁资产从售后回租业务中予以剔除：</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（1）承租人为小微企业、涉农企业；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（2）租赁物为飞机、船舶、车辆；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（3）因税收、补贴、登记等政策对农业机械装备、机动车等设备资产的购买主体有特殊要求，金融租赁公司开展的形式上采用售后回租模式、实质仍为直租业务的新购设备资产融资租赁业务；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（4）监管部门认可的其他新购设备资产融资租赁业务。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3.第（七）条中新增业务的金额，为当年内新投放业务的金额。</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4.对于2023年前三季度新增租赁业务中售后回租业务占比低于65%的金融租赁公司，2024年度售后回租业务限额可按照不高于50%掌握。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5.各监管局可以按照“一司一策”原则，根据不同区域、业务类型和租赁物特征等因素，对辖内金融租赁公司执行第（七）条售后回租业务的具体限额进行适当调整，并报告金融监管总局。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 </w:t>
      </w:r>
    </w:p>
    <w:p>
      <w:pPr>
        <w:rPr>
          <w:rFonts w:hint="eastAsia" w:ascii="仿宋" w:hAnsi="仿宋" w:eastAsia="仿宋" w:cs="仿宋"/>
          <w:lang w:bidi="ar"/>
        </w:rPr>
      </w:pPr>
      <w:r>
        <w:rPr>
          <w:rFonts w:hint="eastAsia" w:ascii="仿宋" w:hAnsi="仿宋" w:eastAsia="仿宋" w:cs="仿宋"/>
          <w:lang w:bidi="ar"/>
        </w:rPr>
        <w:br w:type="page"/>
      </w:r>
    </w:p>
    <w:p>
      <w:pPr>
        <w:adjustRightInd w:val="0"/>
        <w:snapToGrid w:val="0"/>
        <w:spacing w:line="312" w:lineRule="auto"/>
        <w:jc w:val="center"/>
        <w:rPr>
          <w:rFonts w:hint="eastAsia" w:ascii="方正公文小标宋" w:hAnsi="方正公文小标宋" w:eastAsia="方正公文小标宋" w:cs="方正公文小标宋"/>
          <w:lang w:bidi="ar"/>
        </w:rPr>
      </w:pPr>
      <w:r>
        <w:rPr>
          <w:rFonts w:hint="eastAsia" w:ascii="方正公文小标宋" w:hAnsi="方正公文小标宋" w:eastAsia="方正公文小标宋" w:cs="方正公文小标宋"/>
          <w:lang w:bidi="ar"/>
        </w:rPr>
        <w:t>国家金融监督管理总局有关部门负责人就</w:t>
      </w:r>
    </w:p>
    <w:p>
      <w:pPr>
        <w:adjustRightInd w:val="0"/>
        <w:snapToGrid w:val="0"/>
        <w:spacing w:line="312" w:lineRule="auto"/>
        <w:jc w:val="center"/>
        <w:rPr>
          <w:rFonts w:hint="eastAsia" w:ascii="方正公文小标宋" w:hAnsi="方正公文小标宋" w:eastAsia="方正公文小标宋" w:cs="方正公文小标宋"/>
        </w:rPr>
      </w:pPr>
      <w:r>
        <w:rPr>
          <w:rFonts w:hint="eastAsia" w:ascii="方正公文小标宋" w:hAnsi="方正公文小标宋" w:eastAsia="方正公文小标宋" w:cs="方正公文小标宋"/>
          <w:lang w:bidi="ar"/>
        </w:rPr>
        <w:t>《关于促进金融租赁公司规范经营和合规管理的通知》答记者问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近日，国家金融监督管理总局发布《关于促进金融租赁公司规范经营和合规管理的通知》（以下简称《通知》），有关部门负责人就相关问题回答了记者提问。</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一、《通知》的出台背景是什么？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近年来，我国金融租赁行业实现快速发展，在服务国家战略、支持企业设备采购更新、促进消费增长、推动绿色转型等方面发挥了积极作用。同时，监管部门也发现个别金融租赁公司（以下简称金租公司）存在大股东不当干预、公司治理和内控机制不完善、租赁物管理不到位等问题。为贯彻落实国务院有关工作部署，完善金租公司监管制度，深化对行业发展的规律性认识，金融监管总局制定并发布《通知》，推动全行业从服务经济社会高质量发展的大局出发，找准功能定位，聚焦主责主业，为实体经济提供特色化、专业化金融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二、金融租赁行业服务实体经济取得了怎样的成效？</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近年来，金租公司积极响应国家产业发展政策，发挥直租、经营租赁等特色功能，在盘活企业固定资产、优化资源配置、满足企业技术改造需要、提高企业技术水平、促进中小企业发展、促进消费增长等方面发挥了积极作用，在深度服务航空航运业和绿色新能源等行业领域，推动大国重器上天、入地、下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是大力支持国产大飞机战略。积极支持中国商飞以及中国航空制造业产业链，以实际行动支持国产飞机专业化建造、市场化运营。截至2023年6月末，金租公司持有各类航空器及其配套设备资产达到3852.60亿元，累计签署ARJ21和C919飞机订单174架和455架，其中，ARJ21已交付48架，成为国产民用飞机的最大订单客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二是重点支持国轮国造战略。近三年来，全行业支持国内船厂新造船舶268艘，金额合计598亿元；截至2023年6月末，全行业持有船舶1634艘，资产价值总额约3500亿元，有力地支持我国成为全球第一大船东国。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是有力支持制造业企业设备采购更新。截至2023年6月末，全行业制造业租赁资产余额4243.21亿元，较年初增长21.75%；战略性新兴产业租赁资产余额5019.90亿元,较年初增长14.07%；支持“走出去”项目资产余额3298.31亿元，较年初增长16.53%。</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是助推绿色低碳转型。金融租赁行业践行绿色金融理念，聚焦光伏发电、新能源汽车、可再生能源等领域，提供专业化服务，推动能源产业革命和实体经济绿色转型优化。截至2023年6月末，全行业绿色租赁资产余额约8500亿元，较年初增长12%。</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与此同时，全行业持续优化调整资产结构，构筑物类租赁资产较年初减少18.82%，较2021年末下降41%。</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三、《通知》重点强调了哪些方面的内容?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《通知》从健全公司治理和内控管理机制、规范融资租赁经营行为、有的放矢提升金融监管有效性和建立健全监管协作机制等四个方面提出十三项监管要求。重点强调了以下内容：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一是完善公司治理。督促金租公司构建“党委领导、董事会战略决策、管理层执行落实”的治理运行机制，做好股东股权管理和信息披露，规范董事和高管人员履职行为。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二是强化内控和合规管理。要求金租公司建立健全“三道防线”，有效落实业务部门的主体责任、内部控制和合规管理部门的管理责任以及内部审计部门的监督责任。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是找准服务实体经济切入点。鼓励金租公司探索支持与大型设备、大飞机、新能源船舶、首台（套）设备、重大技术装备、集成电路设备等设备类资产制造和使用相适配的业务模式，提升行业服务传统产业改造升级、战略性新兴产业和先进制造业的能力和水平。进一步发挥售后回租业务普惠金融功能优势，助力小微企业、涉农企业盘活设备资产，推动创新升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四是严格规范租赁业务。建立租赁物负面清单，将售后回租业务租赁物范围严格限定为设备类资产，要求金租公司不得以乘用车之外的消费品作为租赁物。</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是优化租赁业务结构。引导金租公司紧紧围绕企业新购设备资产融资需求，逐步提升直租业务能力和服务。强调对新增业务中售后回租业务的限额管理，设定三年过渡期安排，实现年度新增直租业务占比不低于50%的目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六是强化租赁物价值评估管理。针对行业内个别公司存在的租赁物价值评估管理混乱、低值高买等问题，提出对租赁物价值内部和外部评估相关监管要求，优化内部机构和人员设置，强化外部评估机构库管理等。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是提升金融监管有效性。要求各监管局在做好持续性监管的基础上，坚决查处各类违法违规问题，加大追责处罚力度。加强与相关行业主管部门沟通联动，规范向金租公司提供会计审计、资产评估、信用评级、法律咨询等服务的社会中介机构及其从业人员执业行为。一体推进“三不腐”，严厉打击金融犯罪，坚决遏制金融租赁行业的违法案件。</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四、下一步引导金租公司业务发展转型的工作举措有哪些？</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按照有所为有所不为的原则，金融监管总局研究提出了金租公司业务发展的鼓励清单和负面清单，引导行业做真租赁、真做租赁，为实体经济提供专业化、特色化金融服务。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是鼓励金租公司探索支持与大型设备、大飞机、新能源船舶、首台（套）设备、重大技术装备、集成电路设备等设备类资产制造和使用相适配的业务模式，提升行业服务传统产业改造升级、战略性新兴产业和先进制造业的能力和水平。</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二是明确租赁物适格性标准，确保租赁物权属清晰、特定化、可处置、具备经济价值并能够产生使用收益。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三是建立租赁物负面清单，严禁将古玩玉石、字画、办公桌椅、报刊书架、低值易耗品作为租赁物，严禁以乘用车之外的消费品作为租赁物，严禁新增非设备类售后回租业务。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五、《通知》对金融租赁行业的业务结构优化转型作出了什么安排？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金融监管总局要求金租公司尽快转变经营理念和发展方式，鼓励其培养租赁、法律、税收等方面专业人才，加大对租赁细分行业领域的研发投入，紧紧围绕企业新购设备资产融资需求，逐步提升直租业务能力。针对部分公司偏离主业定位，盲目发展扩张，将售后回租业务异化为类信贷业务问题，要求各家金租公司合理控制业务增速和杠杆水平，对售后回租业务实施限额管理，大力发展直租业务，力争在2026年实现年度新增直租业务占比不低于50%的目标。针对行业目前总体售后回租业务占比偏高问题，金融监管总局也配发了《关于融资租赁业务统计口径的说明》，对相关政策落地实施做出了妥善安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一是设置三年过渡期。自2024年起，允许金租公司逐年确定售后回租业务限额，力争在2026年底前达标。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二是坚持“一司一策”原则。允许各监管局根据不同区域、业务类型和租赁物特征等因素，对辖内金租公司售后回租业务的具体限额进行科学合理的适当调整。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是加强对售后回租业务的精细化管理。金融监管总局在深入调研基础上，明确了三类业务可以不纳入售后回租业务统计，以更好落实国家政策、支持租赁传统业务领域、实事求是认定直租业务，主要包括承租人为小微企业、涉农企业；租赁物为飞机、船舶、车辆；因税收、补贴、登记等政策对农业机械装备、机动车等设备资产的购买主体有特殊要求，金租公司形式上采用售后回租模式、实质仍为直租业务的新购设备资产融资等。</w:t>
      </w:r>
    </w:p>
    <w:p>
      <w:pPr>
        <w:adjustRightInd w:val="0"/>
        <w:snapToGrid w:val="0"/>
        <w:spacing w:line="312" w:lineRule="auto"/>
        <w:ind w:firstLine="420" w:firstLineChars="200"/>
        <w:rPr>
          <w:rFonts w:hint="eastAsia" w:ascii="仿宋" w:hAnsi="仿宋" w:eastAsia="仿宋" w:cs="仿宋"/>
        </w:rPr>
      </w:pPr>
    </w:p>
    <w:p>
      <w:pPr>
        <w:adjustRightInd w:val="0"/>
        <w:snapToGrid w:val="0"/>
        <w:spacing w:line="312" w:lineRule="auto"/>
        <w:rPr>
          <w:rFonts w:hint="eastAsia" w:ascii="仿宋" w:hAnsi="仿宋" w:eastAsia="仿宋" w:cs="仿宋"/>
        </w:rPr>
      </w:pPr>
    </w:p>
    <w:p>
      <w:pPr>
        <w:rPr>
          <w:rFonts w:hint="eastAsia" w:ascii="宋体" w:hAnsi="宋体" w:eastAsia="宋体"/>
        </w:rPr>
      </w:pPr>
      <w:r>
        <w:rPr>
          <w:rFonts w:ascii="宋体" w:hAnsi="宋体" w:eastAsia="宋体"/>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