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b w:val="0"/>
          <w:bCs w:val="0"/>
        </w:rPr>
      </w:pPr>
      <w:bookmarkStart w:id="2905" w:name="_Toc19551"/>
      <w:r>
        <w:rPr>
          <w:rFonts w:hint="eastAsia"/>
        </w:rPr>
        <w:t xml:space="preserve">865--国家金融监督管理总局 </w:t>
      </w:r>
      <w:r>
        <w:t>财政部</w:t>
      </w:r>
      <w:r>
        <w:br w:type="textWrapping"/>
      </w:r>
      <w:r>
        <w:rPr>
          <w:rFonts w:hint="eastAsia"/>
        </w:rPr>
        <w:t>关于扩大城乡居民住宅巨灾保险保障范围进一步完善巨灾保险制度的通知</w:t>
      </w:r>
      <w:r>
        <w:br w:type="textWrapping"/>
      </w:r>
      <w:r>
        <w:rPr>
          <w:rFonts w:hint="eastAsia"/>
        </w:rPr>
        <w:t>金规〔</w:t>
      </w:r>
      <w:r>
        <w:t>2024〕2号</w:t>
      </w:r>
      <w:bookmarkEnd w:id="2905"/>
    </w:p>
    <w:p>
      <w:pPr>
        <w:adjustRightInd w:val="0"/>
        <w:snapToGrid w:val="0"/>
        <w:spacing w:line="312" w:lineRule="auto"/>
        <w:rPr>
          <w:rFonts w:ascii="仿宋" w:eastAsia="仿宋"/>
        </w:rPr>
      </w:pPr>
      <w:r>
        <w:rPr>
          <w:rFonts w:hint="eastAsia" w:ascii="仿宋" w:eastAsia="仿宋"/>
        </w:rPr>
        <w:t>国家金融监督管理总局各监管局，各省、自治区、直辖市、计划单列市财政厅（局），新疆生产建设兵团财务局，各保险集团（控股）公司、财产保险公司、再保险公司，上海保交所、保险业协会：</w:t>
      </w:r>
    </w:p>
    <w:p>
      <w:pPr>
        <w:adjustRightInd w:val="0"/>
        <w:snapToGrid w:val="0"/>
        <w:spacing w:line="312" w:lineRule="auto"/>
        <w:ind w:firstLine="420" w:firstLineChars="200"/>
        <w:rPr>
          <w:rFonts w:ascii="仿宋" w:eastAsia="仿宋"/>
        </w:rPr>
      </w:pPr>
      <w:r>
        <w:rPr>
          <w:rFonts w:hint="eastAsia" w:ascii="仿宋" w:eastAsia="仿宋"/>
        </w:rPr>
        <w:t>党中央、国务院高度重视巨灾保险工作，我国地震巨灾保险制度建立以来，在应对重大地震损失、保障人民群众生命财产安全方面发挥了重要作用。按照中央金融工作会议精神，为进一步落实“十四五”规划和</w:t>
      </w:r>
      <w:r>
        <w:rPr>
          <w:rFonts w:ascii="仿宋" w:eastAsia="仿宋"/>
        </w:rPr>
        <w:t>2035年远景目标纲要的要求，完善巨灾保险制度，加快巨灾保险发展，现就有关事项通知如下：</w:t>
      </w:r>
    </w:p>
    <w:p>
      <w:pPr>
        <w:adjustRightInd w:val="0"/>
        <w:snapToGrid w:val="0"/>
        <w:spacing w:line="312" w:lineRule="auto"/>
        <w:ind w:firstLine="420" w:firstLineChars="200"/>
        <w:rPr>
          <w:rFonts w:ascii="仿宋" w:eastAsia="仿宋"/>
        </w:rPr>
      </w:pPr>
      <w:r>
        <w:rPr>
          <w:rFonts w:hint="eastAsia" w:ascii="仿宋" w:eastAsia="仿宋"/>
        </w:rPr>
        <w:t>一、扩展巨灾保险责任</w:t>
      </w:r>
    </w:p>
    <w:p>
      <w:pPr>
        <w:adjustRightInd w:val="0"/>
        <w:snapToGrid w:val="0"/>
        <w:spacing w:line="312" w:lineRule="auto"/>
        <w:ind w:firstLine="420" w:firstLineChars="200"/>
        <w:rPr>
          <w:rFonts w:ascii="仿宋" w:eastAsia="仿宋"/>
        </w:rPr>
      </w:pPr>
      <w:r>
        <w:rPr>
          <w:rFonts w:hint="eastAsia" w:ascii="仿宋" w:eastAsia="仿宋"/>
        </w:rPr>
        <w:t>以城乡居民住宅及室内附属设施为保障对象，保险责任由现有的破坏性地震，扩展增加台风及其引起的风暴潮等次生灾害，洪水，暴雨，泥石流、滑坡等地质灾害。</w:t>
      </w:r>
    </w:p>
    <w:p>
      <w:pPr>
        <w:adjustRightInd w:val="0"/>
        <w:snapToGrid w:val="0"/>
        <w:spacing w:line="312" w:lineRule="auto"/>
        <w:ind w:firstLine="420" w:firstLineChars="200"/>
        <w:rPr>
          <w:rFonts w:ascii="仿宋" w:eastAsia="仿宋"/>
        </w:rPr>
      </w:pPr>
      <w:r>
        <w:rPr>
          <w:rFonts w:hint="eastAsia" w:ascii="仿宋" w:eastAsia="仿宋"/>
        </w:rPr>
        <w:t>扩展巨灾保险的运行机制、损失分层和运行保障，按照城乡居民住宅地震巨灾保险制度统一管理和运行。扩展巨灾保险专项准备金的计提、管理、使用等事项，由财政部另行规定。</w:t>
      </w:r>
    </w:p>
    <w:p>
      <w:pPr>
        <w:adjustRightInd w:val="0"/>
        <w:snapToGrid w:val="0"/>
        <w:spacing w:line="312" w:lineRule="auto"/>
        <w:ind w:firstLine="420" w:firstLineChars="200"/>
        <w:rPr>
          <w:rFonts w:ascii="仿宋" w:eastAsia="仿宋"/>
        </w:rPr>
      </w:pPr>
      <w:r>
        <w:rPr>
          <w:rFonts w:hint="eastAsia" w:ascii="仿宋" w:eastAsia="仿宋"/>
        </w:rPr>
        <w:t>二、提升基本保险金额</w:t>
      </w:r>
    </w:p>
    <w:p>
      <w:pPr>
        <w:adjustRightInd w:val="0"/>
        <w:snapToGrid w:val="0"/>
        <w:spacing w:line="312" w:lineRule="auto"/>
        <w:ind w:firstLine="420" w:firstLineChars="200"/>
        <w:rPr>
          <w:rFonts w:ascii="仿宋" w:eastAsia="仿宋"/>
        </w:rPr>
      </w:pPr>
      <w:r>
        <w:rPr>
          <w:rFonts w:hint="eastAsia" w:ascii="仿宋" w:eastAsia="仿宋"/>
        </w:rPr>
        <w:t>地震巨灾保险的基本保险金额由城镇居民住宅每户</w:t>
      </w:r>
      <w:r>
        <w:rPr>
          <w:rFonts w:ascii="仿宋" w:eastAsia="仿宋"/>
        </w:rPr>
        <w:t>5万元、农村居民住宅每户2万元，提升至城镇居民住宅每户10万元、农村居民住宅每户4万元。</w:t>
      </w:r>
    </w:p>
    <w:p>
      <w:pPr>
        <w:adjustRightInd w:val="0"/>
        <w:snapToGrid w:val="0"/>
        <w:spacing w:line="312" w:lineRule="auto"/>
        <w:ind w:firstLine="420" w:firstLineChars="200"/>
        <w:rPr>
          <w:rFonts w:ascii="仿宋" w:eastAsia="仿宋"/>
        </w:rPr>
      </w:pPr>
      <w:r>
        <w:rPr>
          <w:rFonts w:hint="eastAsia" w:ascii="仿宋" w:eastAsia="仿宋"/>
        </w:rPr>
        <w:t>扩展巨灾保险的基本保险金额为城镇居民住宅每户</w:t>
      </w:r>
      <w:r>
        <w:rPr>
          <w:rFonts w:ascii="仿宋" w:eastAsia="仿宋"/>
        </w:rPr>
        <w:t>10万元、农村居民住宅每户4万元。</w:t>
      </w:r>
    </w:p>
    <w:p>
      <w:pPr>
        <w:adjustRightInd w:val="0"/>
        <w:snapToGrid w:val="0"/>
        <w:spacing w:line="312" w:lineRule="auto"/>
        <w:ind w:firstLine="420" w:firstLineChars="200"/>
        <w:rPr>
          <w:rFonts w:ascii="仿宋" w:eastAsia="仿宋"/>
        </w:rPr>
      </w:pPr>
      <w:r>
        <w:rPr>
          <w:rFonts w:hint="eastAsia" w:ascii="仿宋" w:eastAsia="仿宋"/>
        </w:rPr>
        <w:t>每户可参考房屋市场价值，根据需要与保险公司协商确定保险金额，每项保险的保险金额最高不超过每户</w:t>
      </w:r>
      <w:r>
        <w:rPr>
          <w:rFonts w:ascii="仿宋" w:eastAsia="仿宋"/>
        </w:rPr>
        <w:t>100万元。100万元以上部分可由保险公司提供商业保险补充。</w:t>
      </w:r>
    </w:p>
    <w:p>
      <w:pPr>
        <w:adjustRightInd w:val="0"/>
        <w:snapToGrid w:val="0"/>
        <w:spacing w:line="312" w:lineRule="auto"/>
        <w:ind w:firstLine="420" w:firstLineChars="200"/>
        <w:rPr>
          <w:rFonts w:ascii="仿宋" w:eastAsia="仿宋"/>
        </w:rPr>
      </w:pPr>
      <w:r>
        <w:rPr>
          <w:rFonts w:hint="eastAsia" w:ascii="仿宋" w:eastAsia="仿宋"/>
        </w:rPr>
        <w:t>三、支持商业巨灾保险发展</w:t>
      </w:r>
    </w:p>
    <w:p>
      <w:pPr>
        <w:adjustRightInd w:val="0"/>
        <w:snapToGrid w:val="0"/>
        <w:spacing w:line="312" w:lineRule="auto"/>
        <w:ind w:firstLine="420" w:firstLineChars="200"/>
        <w:rPr>
          <w:rFonts w:ascii="仿宋" w:eastAsia="仿宋"/>
        </w:rPr>
      </w:pPr>
      <w:r>
        <w:rPr>
          <w:rFonts w:hint="eastAsia" w:ascii="仿宋" w:eastAsia="仿宋"/>
        </w:rPr>
        <w:t>中国城乡居民住宅地震巨灾保险共同体更名为中国城乡居民住宅巨灾保险共同体。对于上述保障内容之外的风险责任和保障对象，中国城乡居民住宅巨灾保险共同体经成员大会同意，可以提供商业保险补充，充分满足各地区差异化风险保障需求。</w:t>
      </w:r>
    </w:p>
    <w:p>
      <w:pPr>
        <w:adjustRightInd w:val="0"/>
        <w:snapToGrid w:val="0"/>
        <w:spacing w:line="312" w:lineRule="auto"/>
        <w:ind w:firstLine="420" w:firstLineChars="200"/>
        <w:rPr>
          <w:rFonts w:ascii="仿宋" w:eastAsia="仿宋"/>
        </w:rPr>
      </w:pPr>
      <w:r>
        <w:rPr>
          <w:rFonts w:hint="eastAsia" w:ascii="仿宋" w:eastAsia="仿宋"/>
        </w:rPr>
        <w:t>涉及扩展巨灾保险的经营和管理，本通知未作规定的，按照《中国保监会</w:t>
      </w:r>
      <w:r>
        <w:rPr>
          <w:rFonts w:ascii="仿宋" w:eastAsia="仿宋"/>
        </w:rPr>
        <w:t>财政部关于印发〈建立城乡居民住宅地震巨灾保险制度实施方案〉的通知》（保监发〔2016〕39号）执行。</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附件：关于扩展巨灾保险保障责任的说明</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国家金融监督管理总局</w:t>
      </w:r>
      <w:r>
        <w:rPr>
          <w:rFonts w:ascii="仿宋" w:eastAsia="仿宋"/>
        </w:rPr>
        <w:t>财政部</w:t>
      </w:r>
    </w:p>
    <w:p>
      <w:pPr>
        <w:adjustRightInd w:val="0"/>
        <w:snapToGrid w:val="0"/>
        <w:spacing w:line="312" w:lineRule="auto"/>
        <w:ind w:firstLine="420" w:firstLineChars="200"/>
        <w:jc w:val="right"/>
        <w:rPr>
          <w:rFonts w:ascii="仿宋" w:eastAsia="仿宋"/>
        </w:rPr>
      </w:pPr>
      <w:r>
        <w:rPr>
          <w:rFonts w:ascii="仿宋" w:eastAsia="仿宋"/>
        </w:rPr>
        <w:t>2024年2月24日</w:t>
      </w:r>
    </w:p>
    <w:p>
      <w:pPr>
        <w:adjustRightInd w:val="0"/>
        <w:snapToGrid w:val="0"/>
        <w:spacing w:line="312" w:lineRule="auto"/>
        <w:ind w:firstLine="420" w:firstLineChars="200"/>
        <w:rPr>
          <w:rFonts w:ascii="仿宋" w:eastAsia="仿宋"/>
        </w:rPr>
      </w:pPr>
      <w:r>
        <w:rPr>
          <w:rFonts w:hint="eastAsia" w:ascii="仿宋" w:eastAsia="仿宋"/>
        </w:rPr>
        <w:t>（此件发至地方法人财产保险公司和再保险公司）</w:t>
      </w:r>
    </w:p>
    <w:p>
      <w:pPr>
        <w:adjustRightInd w:val="0"/>
        <w:snapToGrid w:val="0"/>
        <w:spacing w:line="312" w:lineRule="auto"/>
        <w:ind w:firstLine="420" w:firstLineChars="200"/>
        <w:rPr>
          <w:rFonts w:ascii="仿宋" w:eastAsia="仿宋"/>
        </w:rPr>
      </w:pPr>
    </w:p>
    <w:p>
      <w:pPr>
        <w:rPr>
          <w:rFonts w:ascii="仿宋" w:eastAsia="仿宋"/>
        </w:rPr>
      </w:pPr>
      <w:r>
        <w:rPr>
          <w:rFonts w:hint="eastAsia" w:ascii="仿宋" w:eastAsia="仿宋"/>
        </w:rPr>
        <w:br w:type="page"/>
      </w:r>
    </w:p>
    <w:p>
      <w:pPr>
        <w:adjustRightInd w:val="0"/>
        <w:snapToGrid w:val="0"/>
        <w:spacing w:line="312" w:lineRule="auto"/>
        <w:ind w:firstLine="420" w:firstLineChars="200"/>
        <w:rPr>
          <w:rFonts w:ascii="仿宋" w:eastAsia="仿宋"/>
        </w:rPr>
      </w:pPr>
      <w:r>
        <w:rPr>
          <w:rFonts w:hint="eastAsia" w:ascii="仿宋" w:eastAsia="仿宋"/>
        </w:rPr>
        <w:t>附件</w:t>
      </w:r>
    </w:p>
    <w:p>
      <w:pPr>
        <w:adjustRightInd w:val="0"/>
        <w:snapToGrid w:val="0"/>
        <w:spacing w:line="312" w:lineRule="auto"/>
        <w:ind w:firstLine="422" w:firstLineChars="200"/>
        <w:jc w:val="center"/>
        <w:rPr>
          <w:rFonts w:ascii="仿宋" w:eastAsia="仿宋"/>
          <w:b/>
          <w:bCs/>
        </w:rPr>
      </w:pPr>
      <w:r>
        <w:rPr>
          <w:rFonts w:hint="eastAsia" w:ascii="仿宋" w:eastAsia="仿宋"/>
          <w:b/>
          <w:bCs/>
        </w:rPr>
        <w:t>关于扩展巨灾保险保障责任的说明</w:t>
      </w:r>
    </w:p>
    <w:p>
      <w:pPr>
        <w:adjustRightInd w:val="0"/>
        <w:snapToGrid w:val="0"/>
        <w:spacing w:line="312" w:lineRule="auto"/>
        <w:ind w:firstLine="420" w:firstLineChars="200"/>
        <w:rPr>
          <w:rFonts w:ascii="仿宋" w:eastAsia="仿宋"/>
        </w:rPr>
      </w:pPr>
      <w:r>
        <w:rPr>
          <w:rFonts w:hint="eastAsia" w:ascii="仿宋" w:eastAsia="仿宋"/>
        </w:rPr>
        <w:t>一、保险责任</w:t>
      </w:r>
    </w:p>
    <w:p>
      <w:pPr>
        <w:adjustRightInd w:val="0"/>
        <w:snapToGrid w:val="0"/>
        <w:spacing w:line="312" w:lineRule="auto"/>
        <w:ind w:firstLine="420" w:firstLineChars="200"/>
        <w:rPr>
          <w:rFonts w:ascii="仿宋" w:eastAsia="仿宋"/>
        </w:rPr>
      </w:pPr>
      <w:r>
        <w:rPr>
          <w:rFonts w:hint="eastAsia" w:ascii="仿宋" w:eastAsia="仿宋"/>
        </w:rPr>
        <w:t>台风（风力达到</w:t>
      </w:r>
      <w:r>
        <w:rPr>
          <w:rFonts w:ascii="仿宋" w:eastAsia="仿宋"/>
        </w:rPr>
        <w:t>12级及以上的热带气旋）及其引起的风暴潮等次生灾害，洪水（省级启动防汛Ⅳ级及以上应急响应的山洪暴发、江河泛滥、城市内涝、潮水上岸或倒灌），暴雨（24小时降水量为50毫米以上的强降雨），泥石流、滑坡等地质灾害。</w:t>
      </w:r>
    </w:p>
    <w:p>
      <w:pPr>
        <w:adjustRightInd w:val="0"/>
        <w:snapToGrid w:val="0"/>
        <w:spacing w:line="312" w:lineRule="auto"/>
        <w:ind w:firstLine="420" w:firstLineChars="200"/>
        <w:rPr>
          <w:rFonts w:ascii="仿宋" w:eastAsia="仿宋"/>
        </w:rPr>
      </w:pPr>
      <w:r>
        <w:rPr>
          <w:rFonts w:hint="eastAsia" w:ascii="仿宋" w:eastAsia="仿宋"/>
        </w:rPr>
        <w:t>二、保险金额</w:t>
      </w:r>
    </w:p>
    <w:p>
      <w:pPr>
        <w:adjustRightInd w:val="0"/>
        <w:snapToGrid w:val="0"/>
        <w:spacing w:line="312" w:lineRule="auto"/>
        <w:ind w:firstLine="420" w:firstLineChars="200"/>
        <w:rPr>
          <w:rFonts w:ascii="仿宋" w:eastAsia="仿宋"/>
        </w:rPr>
      </w:pPr>
      <w:r>
        <w:rPr>
          <w:rFonts w:hint="eastAsia" w:ascii="仿宋" w:eastAsia="仿宋"/>
        </w:rPr>
        <w:t>针对上述保险责任，每项保险金额为：城镇居民住宅基本保险金额每户</w:t>
      </w:r>
      <w:r>
        <w:rPr>
          <w:rFonts w:ascii="仿宋" w:eastAsia="仿宋"/>
        </w:rPr>
        <w:t>10万元，农村居民住宅基本保险金额每户4万元。每户可参考房屋市场价值，根据需要与保险公司协商确定保险金额，每项保险责任的保险金额最高不超过每户100万元。</w:t>
      </w:r>
    </w:p>
    <w:p>
      <w:pPr>
        <w:adjustRightInd w:val="0"/>
        <w:snapToGrid w:val="0"/>
        <w:spacing w:line="312" w:lineRule="auto"/>
        <w:ind w:firstLine="420" w:firstLineChars="200"/>
        <w:rPr>
          <w:rFonts w:ascii="仿宋" w:eastAsia="仿宋"/>
        </w:rPr>
      </w:pPr>
      <w:r>
        <w:rPr>
          <w:rFonts w:ascii="仿宋" w:eastAsia="仿宋"/>
        </w:rPr>
        <w:t>100万元以上部分可由保险公司提供商业保险补充。</w:t>
      </w:r>
    </w:p>
    <w:p>
      <w:pPr>
        <w:adjustRightInd w:val="0"/>
        <w:snapToGrid w:val="0"/>
        <w:spacing w:line="312" w:lineRule="auto"/>
        <w:ind w:firstLine="420" w:firstLineChars="200"/>
        <w:rPr>
          <w:rFonts w:ascii="仿宋" w:eastAsia="仿宋"/>
        </w:rPr>
      </w:pPr>
      <w:r>
        <w:rPr>
          <w:rFonts w:hint="eastAsia" w:ascii="仿宋" w:eastAsia="仿宋"/>
        </w:rPr>
        <w:t>三、赔偿处理</w:t>
      </w:r>
    </w:p>
    <w:p>
      <w:pPr>
        <w:adjustRightInd w:val="0"/>
        <w:snapToGrid w:val="0"/>
        <w:spacing w:line="312" w:lineRule="auto"/>
        <w:ind w:firstLine="420" w:firstLineChars="200"/>
        <w:rPr>
          <w:rFonts w:ascii="仿宋" w:eastAsia="仿宋"/>
        </w:rPr>
      </w:pPr>
      <w:r>
        <w:rPr>
          <w:rFonts w:hint="eastAsia" w:ascii="仿宋" w:eastAsia="仿宋"/>
        </w:rPr>
        <w:t>以保险金额为基准，参照保险合同理赔标准，结合各地已开展的农房灾害保险实际做法进行定损，住宅墙体及承重结构根据破坏等级分档理赔，门窗及屋顶按照实际损失平方米数计算赔偿金额，室内附属设施根据出险时的实际价值确定赔偿金额。确定各项损失后，在保险金额范围内计算赔偿。</w:t>
      </w:r>
    </w:p>
    <w:p>
      <w:pPr>
        <w:adjustRightInd w:val="0"/>
        <w:snapToGrid w:val="0"/>
        <w:spacing w:line="312" w:lineRule="auto"/>
        <w:ind w:firstLine="420" w:firstLineChars="200"/>
        <w:rPr>
          <w:rFonts w:ascii="仿宋" w:eastAsia="仿宋"/>
        </w:rPr>
      </w:pPr>
      <w:r>
        <w:rPr>
          <w:rFonts w:hint="eastAsia" w:ascii="仿宋" w:eastAsia="仿宋"/>
        </w:rPr>
        <w:t>四、条款费率</w:t>
      </w:r>
    </w:p>
    <w:p>
      <w:pPr>
        <w:adjustRightInd w:val="0"/>
        <w:snapToGrid w:val="0"/>
        <w:spacing w:line="312" w:lineRule="auto"/>
        <w:ind w:firstLine="420" w:firstLineChars="200"/>
        <w:rPr>
          <w:rFonts w:ascii="仿宋" w:eastAsia="仿宋"/>
        </w:rPr>
      </w:pPr>
      <w:r>
        <w:rPr>
          <w:rFonts w:hint="eastAsia" w:ascii="仿宋" w:eastAsia="仿宋"/>
        </w:rPr>
        <w:t>使用经保险监督管理机构备案的、适用于全国的城乡居民住宅巨灾保险示范条款。根据地区风险状况、建筑结构、城乡差别等情况，在保险监督管理机构确定的范围内拟定差异化的保险费率，并设置风险集中度调整系数。</w:t>
      </w:r>
    </w:p>
    <w:p>
      <w:pPr>
        <w:adjustRightInd w:val="0"/>
        <w:snapToGrid w:val="0"/>
        <w:spacing w:line="312" w:lineRule="auto"/>
        <w:ind w:firstLine="420" w:firstLineChars="200"/>
        <w:rPr>
          <w:rFonts w:ascii="仿宋" w:eastAsia="仿宋"/>
        </w:rPr>
      </w:pPr>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