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adjustRightInd w:val="0"/>
        <w:snapToGrid w:val="0"/>
        <w:spacing w:before="0" w:after="0" w:line="240" w:lineRule="auto"/>
        <w:jc w:val="center"/>
        <w:rPr>
          <w:rFonts w:hint="eastAsia" w:ascii="仿宋" w:hAnsi="仿宋" w:eastAsia="仿宋" w:cstheme="minorBidi"/>
          <w:b/>
          <w:bCs/>
          <w:kern w:val="44"/>
          <w:sz w:val="21"/>
          <w:szCs w:val="21"/>
          <w14:ligatures w14:val="none"/>
        </w:rPr>
      </w:pPr>
      <w:bookmarkStart w:id="2919" w:name="_Toc10327"/>
      <w:r>
        <w:rPr>
          <w:rFonts w:hint="eastAsia" w:ascii="仿宋" w:hAnsi="仿宋" w:eastAsia="仿宋" w:cstheme="minorBidi"/>
          <w:b/>
          <w:bCs/>
          <w:kern w:val="44"/>
          <w:sz w:val="21"/>
          <w:szCs w:val="21"/>
          <w:lang w:val="en-US" w:eastAsia="zh-CN"/>
          <w14:ligatures w14:val="none"/>
        </w:rPr>
        <w:t>880--国家金融监督管理总局办公厅关于印发金融租赁公司业务发展</w:t>
      </w:r>
      <w:r>
        <w:rPr>
          <w:rFonts w:hint="eastAsia" w:ascii="仿宋" w:hAnsi="仿宋" w:eastAsia="仿宋" w:cstheme="minorBidi"/>
          <w:b/>
          <w:bCs/>
          <w:kern w:val="44"/>
          <w:sz w:val="21"/>
          <w:szCs w:val="21"/>
          <w:lang w:val="en-US" w:eastAsia="zh-CN"/>
          <w14:ligatures w14:val="none"/>
        </w:rPr>
        <w:br w:type="textWrapping"/>
      </w:r>
      <w:r>
        <w:rPr>
          <w:rFonts w:hint="eastAsia" w:ascii="仿宋" w:hAnsi="仿宋" w:eastAsia="仿宋" w:cstheme="minorBidi"/>
          <w:b/>
          <w:bCs/>
          <w:kern w:val="44"/>
          <w:sz w:val="21"/>
          <w:szCs w:val="21"/>
          <w14:ligatures w14:val="none"/>
        </w:rPr>
        <w:t>鼓励清单、负面清单和项目公司业务正面清单的通知</w:t>
      </w:r>
      <w:r>
        <w:rPr>
          <w:rFonts w:hint="eastAsia" w:ascii="仿宋" w:hAnsi="仿宋" w:eastAsia="仿宋" w:cstheme="minorBidi"/>
          <w:b/>
          <w:bCs/>
          <w:kern w:val="44"/>
          <w:sz w:val="21"/>
          <w:szCs w:val="21"/>
          <w14:ligatures w14:val="none"/>
        </w:rPr>
        <w:br w:type="textWrapping"/>
      </w:r>
      <w:r>
        <w:rPr>
          <w:rFonts w:hint="eastAsia" w:ascii="仿宋" w:hAnsi="仿宋" w:eastAsia="仿宋" w:cstheme="minorBidi"/>
          <w:b/>
          <w:bCs/>
          <w:kern w:val="44"/>
          <w:sz w:val="21"/>
          <w:szCs w:val="21"/>
          <w14:ligatures w14:val="none"/>
        </w:rPr>
        <w:t>金办发〔2024〕91号</w:t>
      </w:r>
      <w:bookmarkEnd w:id="2919"/>
    </w:p>
    <w:p>
      <w:pPr>
        <w:adjustRightInd w:val="0"/>
        <w:snapToGrid w:val="0"/>
        <w:spacing w:after="0" w:line="312" w:lineRule="auto"/>
        <w:jc w:val="both"/>
        <w:rPr>
          <w:rFonts w:hint="eastAsia" w:ascii="仿宋" w:eastAsia="仿宋"/>
          <w:sz w:val="21"/>
        </w:rPr>
      </w:pPr>
      <w:r>
        <w:rPr>
          <w:rFonts w:hint="eastAsia" w:ascii="仿宋" w:eastAsia="仿宋"/>
          <w:sz w:val="21"/>
        </w:rPr>
        <w:t>各金融监管局：</w:t>
      </w:r>
    </w:p>
    <w:p>
      <w:pPr>
        <w:adjustRightInd w:val="0"/>
        <w:snapToGrid w:val="0"/>
        <w:spacing w:after="0" w:line="312" w:lineRule="auto"/>
        <w:ind w:firstLine="420" w:firstLineChars="200"/>
        <w:jc w:val="both"/>
        <w:rPr>
          <w:rFonts w:ascii="仿宋" w:eastAsia="仿宋"/>
          <w:sz w:val="21"/>
        </w:rPr>
      </w:pPr>
      <w:r>
        <w:rPr>
          <w:rFonts w:hint="eastAsia" w:ascii="仿宋" w:eastAsia="仿宋"/>
          <w:sz w:val="21"/>
        </w:rPr>
        <w:t>为引导金融租赁公司行业贯彻落实党中央、国务院决策部署，以国家战略需求为导向，坚持“有所为、有所不为”，优化业务方向和业务结构，更好发挥专业化、特色化金融功能，为企业提供“</w:t>
      </w:r>
      <w:bookmarkStart w:id="2920" w:name="hmcheck_934f8e2c66cc4c2db18ab9aef49c0a80"/>
      <w:bookmarkEnd w:id="2920"/>
      <w:r>
        <w:rPr>
          <w:rFonts w:hint="eastAsia" w:ascii="仿宋" w:eastAsia="仿宋"/>
          <w:sz w:val="21"/>
        </w:rPr>
        <w:t>融物+融资”金融服务，促进经济社会高质量发展，金融监管总局制定了《金融租赁公司业务发展鼓励清单》（以下简称鼓励清单）、《金融租赁公司业务发展负面清单》（以下简称负面清单）和《金融租赁公司项目公司业务正面清单》（以下简称正面清单），现印发给你们，并就有关事项通知如下：</w:t>
      </w:r>
    </w:p>
    <w:p>
      <w:pPr>
        <w:adjustRightInd w:val="0"/>
        <w:snapToGrid w:val="0"/>
        <w:spacing w:after="0" w:line="312" w:lineRule="auto"/>
        <w:ind w:firstLine="420" w:firstLineChars="200"/>
        <w:jc w:val="both"/>
        <w:rPr>
          <w:rFonts w:ascii="仿宋" w:eastAsia="仿宋"/>
          <w:sz w:val="21"/>
        </w:rPr>
      </w:pPr>
      <w:r>
        <w:rPr>
          <w:rFonts w:hint="eastAsia" w:ascii="仿宋" w:eastAsia="仿宋"/>
          <w:sz w:val="21"/>
        </w:rPr>
        <w:t>一、金融租赁公司要立足功能定位和自身禀赋，根据鼓励清单调整业务规划，支持促进产业优化升级的重要通用设备和重大技术装备需求，助力现代化产业体系建设，推动新质生产力发展。同时，要及时跟踪研判行业发展趋势，避免盲目投资导致产业项目低水平重复建设。</w:t>
      </w:r>
    </w:p>
    <w:p>
      <w:pPr>
        <w:adjustRightInd w:val="0"/>
        <w:snapToGrid w:val="0"/>
        <w:spacing w:after="0" w:line="312" w:lineRule="auto"/>
        <w:ind w:firstLine="420" w:firstLineChars="200"/>
        <w:jc w:val="both"/>
        <w:rPr>
          <w:rFonts w:ascii="仿宋" w:eastAsia="仿宋"/>
          <w:sz w:val="21"/>
        </w:rPr>
      </w:pPr>
      <w:r>
        <w:rPr>
          <w:rFonts w:hint="eastAsia" w:ascii="仿宋" w:eastAsia="仿宋"/>
          <w:sz w:val="21"/>
        </w:rPr>
        <w:t>二、金融租赁公司要严格执行《中国银保监会办公厅关于加强金融租赁公司融资租赁业务合规监管有关问题的通知》（银保监办发〔2022〕12号）和《国家金融监督管理总局关于促进金融租赁公司规范经营和合规管理的通知》（</w:t>
      </w:r>
      <w:bookmarkStart w:id="2921" w:name="hmcheck_9efad4791fd24a8c915107926013137f"/>
      <w:bookmarkEnd w:id="2921"/>
      <w:r>
        <w:rPr>
          <w:rFonts w:hint="eastAsia" w:ascii="仿宋" w:eastAsia="仿宋"/>
          <w:sz w:val="21"/>
        </w:rPr>
        <w:t>金规〔2023〕8号）关于禁止性业务领域的相关规定。存量相关业务自然结清，不得展期或</w:t>
      </w:r>
      <w:bookmarkStart w:id="2922" w:name="hmcheck_a477d06a76554244bacd17db5894c227"/>
      <w:bookmarkEnd w:id="2922"/>
      <w:r>
        <w:rPr>
          <w:rFonts w:hint="eastAsia" w:ascii="仿宋" w:eastAsia="仿宋"/>
          <w:sz w:val="21"/>
        </w:rPr>
        <w:t>续作。</w:t>
      </w:r>
    </w:p>
    <w:p>
      <w:pPr>
        <w:adjustRightInd w:val="0"/>
        <w:snapToGrid w:val="0"/>
        <w:spacing w:after="0" w:line="312" w:lineRule="auto"/>
        <w:ind w:firstLine="420" w:firstLineChars="200"/>
        <w:jc w:val="both"/>
        <w:rPr>
          <w:rFonts w:ascii="仿宋" w:eastAsia="仿宋"/>
          <w:sz w:val="21"/>
        </w:rPr>
      </w:pPr>
      <w:r>
        <w:rPr>
          <w:rFonts w:hint="eastAsia" w:ascii="仿宋" w:eastAsia="仿宋"/>
          <w:sz w:val="21"/>
        </w:rPr>
        <w:t>三、金融租赁公司要按照《金融租赁公司项目公司管理办法》（银保监办发〔2021〕143号）第三条规定，对所设立的项目公司租赁物范围实施正面清单管理。金融租赁公司专业子公司设立的项目公司租赁物范围，应当符合专业子公司特定业务领域或特定业务模式。</w:t>
      </w:r>
    </w:p>
    <w:p>
      <w:pPr>
        <w:adjustRightInd w:val="0"/>
        <w:snapToGrid w:val="0"/>
        <w:spacing w:after="0" w:line="312" w:lineRule="auto"/>
        <w:ind w:firstLine="420" w:firstLineChars="200"/>
        <w:jc w:val="both"/>
        <w:rPr>
          <w:rFonts w:ascii="仿宋" w:eastAsia="仿宋"/>
          <w:sz w:val="21"/>
        </w:rPr>
      </w:pPr>
      <w:r>
        <w:rPr>
          <w:rFonts w:hint="eastAsia" w:ascii="仿宋" w:eastAsia="仿宋"/>
          <w:sz w:val="21"/>
        </w:rPr>
        <w:t>四、金融租赁公司要按照清单内容，结合实际，完善业务准入相关制度，充分发挥鼓励清单和负面清单的导向作用。金融租赁公司每年应当定期向属地金融监管局报告鼓励清单落实情况。对于积极落实并取得良好成效的，各金融监管局要纳入监管评级考量。</w:t>
      </w:r>
    </w:p>
    <w:p>
      <w:pPr>
        <w:adjustRightInd w:val="0"/>
        <w:snapToGrid w:val="0"/>
        <w:spacing w:after="0" w:line="312" w:lineRule="auto"/>
        <w:ind w:firstLine="420" w:firstLineChars="200"/>
        <w:jc w:val="both"/>
        <w:rPr>
          <w:rFonts w:ascii="仿宋" w:eastAsia="仿宋"/>
          <w:sz w:val="21"/>
        </w:rPr>
      </w:pPr>
      <w:r>
        <w:rPr>
          <w:rFonts w:hint="eastAsia" w:ascii="仿宋" w:eastAsia="仿宋"/>
          <w:sz w:val="21"/>
        </w:rPr>
        <w:t>五、金融监管总局将根据国家政策导向、相关政策文件要求和金融租赁公司业务发展情况，适时对清单进行更新和调整，并通过金融监管总局网站对外公布。</w:t>
      </w:r>
    </w:p>
    <w:p>
      <w:pPr>
        <w:adjustRightInd w:val="0"/>
        <w:snapToGrid w:val="0"/>
        <w:spacing w:after="0" w:line="312" w:lineRule="auto"/>
        <w:ind w:firstLine="420" w:firstLineChars="200"/>
        <w:jc w:val="both"/>
        <w:rPr>
          <w:rFonts w:ascii="仿宋" w:eastAsia="仿宋"/>
          <w:sz w:val="21"/>
        </w:rPr>
      </w:pPr>
    </w:p>
    <w:p>
      <w:pPr>
        <w:adjustRightInd w:val="0"/>
        <w:snapToGrid w:val="0"/>
        <w:spacing w:after="0" w:line="312" w:lineRule="auto"/>
        <w:ind w:firstLine="420" w:firstLineChars="200"/>
        <w:jc w:val="both"/>
        <w:rPr>
          <w:rFonts w:ascii="仿宋" w:eastAsia="仿宋"/>
          <w:sz w:val="21"/>
        </w:rPr>
      </w:pPr>
    </w:p>
    <w:p>
      <w:pPr>
        <w:adjustRightInd w:val="0"/>
        <w:snapToGrid w:val="0"/>
        <w:spacing w:after="0" w:line="312" w:lineRule="auto"/>
        <w:ind w:firstLine="420" w:firstLineChars="200"/>
        <w:jc w:val="right"/>
        <w:rPr>
          <w:rFonts w:ascii="仿宋" w:eastAsia="仿宋"/>
          <w:sz w:val="21"/>
        </w:rPr>
      </w:pPr>
      <w:r>
        <w:rPr>
          <w:rFonts w:hint="eastAsia" w:ascii="仿宋" w:eastAsia="仿宋"/>
          <w:sz w:val="21"/>
        </w:rPr>
        <w:t>国家金融监督管理总局办公厅</w:t>
      </w:r>
    </w:p>
    <w:p>
      <w:pPr>
        <w:adjustRightInd w:val="0"/>
        <w:snapToGrid w:val="0"/>
        <w:spacing w:after="0" w:line="312" w:lineRule="auto"/>
        <w:ind w:firstLine="420" w:firstLineChars="200"/>
        <w:jc w:val="right"/>
        <w:rPr>
          <w:rFonts w:ascii="仿宋" w:eastAsia="仿宋"/>
          <w:sz w:val="21"/>
        </w:rPr>
      </w:pPr>
      <w:r>
        <w:rPr>
          <w:rFonts w:hint="eastAsia" w:ascii="仿宋" w:eastAsia="仿宋"/>
          <w:sz w:val="21"/>
        </w:rPr>
        <w:t>2024年8月16日</w:t>
      </w:r>
    </w:p>
    <w:p>
      <w:pPr>
        <w:adjustRightInd w:val="0"/>
        <w:snapToGrid w:val="0"/>
        <w:spacing w:after="0" w:line="312" w:lineRule="auto"/>
        <w:ind w:firstLine="420" w:firstLineChars="200"/>
        <w:jc w:val="right"/>
        <w:rPr>
          <w:rFonts w:hint="eastAsia" w:ascii="仿宋" w:eastAsia="仿宋"/>
          <w:sz w:val="21"/>
        </w:rPr>
      </w:pPr>
    </w:p>
    <w:p>
      <w:pPr>
        <w:adjustRightInd w:val="0"/>
        <w:snapToGrid w:val="0"/>
        <w:spacing w:after="0" w:line="312" w:lineRule="auto"/>
        <w:ind w:firstLine="420" w:firstLineChars="200"/>
        <w:jc w:val="both"/>
        <w:rPr>
          <w:rFonts w:ascii="仿宋" w:eastAsia="仿宋"/>
          <w:sz w:val="21"/>
        </w:rPr>
      </w:pPr>
      <w:r>
        <w:rPr>
          <w:rFonts w:hint="eastAsia" w:ascii="仿宋" w:eastAsia="仿宋"/>
          <w:sz w:val="21"/>
        </w:rPr>
        <w:t>（此件发至金融监管分局和辖内金融租赁公司）</w:t>
      </w:r>
    </w:p>
    <w:p>
      <w:pPr>
        <w:adjustRightInd w:val="0"/>
        <w:snapToGrid w:val="0"/>
        <w:spacing w:after="0" w:line="312" w:lineRule="auto"/>
        <w:ind w:firstLine="420" w:firstLineChars="200"/>
        <w:jc w:val="both"/>
        <w:rPr>
          <w:rFonts w:ascii="仿宋" w:eastAsia="仿宋"/>
          <w:sz w:val="21"/>
        </w:rPr>
      </w:pPr>
    </w:p>
    <w:p>
      <w:pPr>
        <w:widowControl/>
        <w:rPr>
          <w:rFonts w:hint="eastAsia" w:ascii="仿宋" w:eastAsia="仿宋"/>
          <w:sz w:val="21"/>
        </w:rPr>
      </w:pPr>
      <w:r>
        <w:rPr>
          <w:rFonts w:hint="eastAsia" w:ascii="仿宋" w:eastAsia="仿宋"/>
          <w:sz w:val="21"/>
        </w:rPr>
        <w:br w:type="page"/>
      </w:r>
    </w:p>
    <w:p>
      <w:pPr>
        <w:adjustRightInd w:val="0"/>
        <w:snapToGrid w:val="0"/>
        <w:spacing w:after="0" w:line="312" w:lineRule="auto"/>
        <w:ind w:firstLine="422" w:firstLineChars="200"/>
        <w:jc w:val="center"/>
        <w:rPr>
          <w:rFonts w:hint="eastAsia" w:ascii="仿宋" w:eastAsia="仿宋"/>
          <w:b/>
          <w:bCs/>
          <w:sz w:val="21"/>
        </w:rPr>
      </w:pPr>
      <w:r>
        <w:rPr>
          <w:rFonts w:hint="eastAsia" w:ascii="仿宋" w:eastAsia="仿宋"/>
          <w:b/>
          <w:bCs/>
          <w:sz w:val="21"/>
        </w:rPr>
        <w:t>金融租赁公司业务发展鼓励清单</w:t>
      </w:r>
    </w:p>
    <w:tbl>
      <w:tblPr>
        <w:tblStyle w:val="42"/>
        <w:tblW w:w="8354" w:type="dxa"/>
        <w:jc w:val="center"/>
        <w:tblLayout w:type="autofit"/>
        <w:tblCellMar>
          <w:top w:w="15" w:type="dxa"/>
          <w:left w:w="15" w:type="dxa"/>
          <w:bottom w:w="15" w:type="dxa"/>
          <w:right w:w="15" w:type="dxa"/>
        </w:tblCellMar>
      </w:tblPr>
      <w:tblGrid>
        <w:gridCol w:w="652"/>
        <w:gridCol w:w="1576"/>
        <w:gridCol w:w="6126"/>
      </w:tblGrid>
      <w:tr>
        <w:tblPrEx>
          <w:tblCellMar>
            <w:top w:w="15" w:type="dxa"/>
            <w:left w:w="15" w:type="dxa"/>
            <w:bottom w:w="15" w:type="dxa"/>
            <w:right w:w="15" w:type="dxa"/>
          </w:tblCellMar>
        </w:tblPrEx>
        <w:trPr>
          <w:jc w:val="center"/>
        </w:trPr>
        <w:tc>
          <w:tcPr>
            <w:tcW w:w="652"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hint="eastAsia" w:ascii="仿宋" w:eastAsia="仿宋"/>
                <w:sz w:val="21"/>
              </w:rPr>
            </w:pPr>
            <w:r>
              <w:rPr>
                <w:rFonts w:hint="eastAsia" w:ascii="仿宋" w:eastAsia="仿宋"/>
                <w:b/>
                <w:bCs/>
                <w:sz w:val="21"/>
              </w:rPr>
              <w:t>序号</w:t>
            </w:r>
          </w:p>
        </w:tc>
        <w:tc>
          <w:tcPr>
            <w:tcW w:w="1576"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b/>
                <w:bCs/>
                <w:sz w:val="21"/>
              </w:rPr>
              <w:t>产业</w:t>
            </w:r>
          </w:p>
        </w:tc>
        <w:tc>
          <w:tcPr>
            <w:tcW w:w="6126"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b/>
                <w:bCs/>
                <w:sz w:val="21"/>
              </w:rPr>
              <w:t>重点支持类别</w:t>
            </w:r>
          </w:p>
        </w:tc>
      </w:tr>
      <w:tr>
        <w:tblPrEx>
          <w:tblCellMar>
            <w:top w:w="15" w:type="dxa"/>
            <w:left w:w="15" w:type="dxa"/>
            <w:bottom w:w="15" w:type="dxa"/>
            <w:right w:w="15" w:type="dxa"/>
          </w:tblCellMar>
        </w:tblPrEx>
        <w:trPr>
          <w:trHeight w:val="613" w:hRule="atLeast"/>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1</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农林牧渔业</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农业机械、耕种及养殖设备、初加工机械、渔船、网箱养殖机械、养殖工船及船式海上养殖设备</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2</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煤炭</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煤矿智能化技术装备、煤炭清洁高效利用设备、带式输送机、刮板输送机、掘进机、采煤机、液压支架、提升机</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3</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电力</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储能设备、新能源汽车充换电设施、新型电力系统装备、超超临界和背压机组、煤电机组节能降碳改造、供热改造、灵活性改造</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4</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新能源</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风电光伏及光热发电设备、生物质发电设备、氢能设备、新能源产线设备、地热能发电和供暖设备、储能设备设施、换电站以及各类新能源项目开发相关设备</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5</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核能</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核能设备</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6</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石油、天然气</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陆地深层/深水/页岩油气勘探开发设备、综合油气开发利用设备、CCUS促进原油绿色低碳开发相关设备、海工设备、固井装备、压裂装备、钻采装备、油管作业装备、工程机械、炼化设备、油气管道工程施工装备</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7</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钢铁</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氢冶金、低碳冶金、洁净钢冶炼、智能制造、固废资源综合利用相关装备以及先进电炉、特种冶炼、高端检测、薄带铸轧、高效轧制相关装备</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8</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石化化工</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化工新材料、精细化工生产线、新型炼化技术设备、节能环保装备、矿产资源综合利用生产线、炼油项目配套设备、炼厂改造升级设备</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9</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医药</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研发生产所需的仪器设备及生产设备</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10</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机械</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全部设备</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11</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城市轨道交通装备</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信号设备、通信设备、列车</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12</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汽车</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汽车、动力电池</w:t>
            </w:r>
          </w:p>
        </w:tc>
      </w:tr>
      <w:tr>
        <w:tblPrEx>
          <w:tblCellMar>
            <w:top w:w="15" w:type="dxa"/>
            <w:left w:w="15" w:type="dxa"/>
            <w:bottom w:w="15" w:type="dxa"/>
            <w:right w:w="15" w:type="dxa"/>
          </w:tblCellMar>
        </w:tblPrEx>
        <w:trPr>
          <w:trHeight w:val="90" w:hRule="atLeast"/>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13</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船舶及海洋工程装备</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船舶、动力电池、海洋工程设备</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14</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航空航天</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国产航空器、发动机</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15</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轻工</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“以竹代塑”生产设备</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16</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铁路</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动车组、机车、先进轨道交通装备、绿色智能铁路设备、牵引动力设备、电气化设备、通讯设备、制动设备、供电设备</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17</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水运</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智慧水运设备、港口设备、岸电设备、船舶受电设施、LNG存储及加注设备、电动船充换电设备、港口自动化设备、水上安全监管设备、救助设备、码头油气回收设备</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18</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航空运输</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航空油料存储及加注设备、通讯导航监视气象设备、航空网络设备、货运装备、机场配套设备</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19</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信息产业</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算力中心设备、集成电路</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20</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现代物流业</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货车、叉车、分拣机、堆垛机、提升机</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21</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邮政业</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分拣设备、冷链设备、仓储设备、安检设备、无人机</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22</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卫生健康</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高压氧舱等医养类器械及设备</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23</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养老与托育服务</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老龄化辅助设备</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24</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环境保护与资源节约综合利用</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脱硫脱硝除尘装备、垃圾处理设备、危险废物无害化处置和高效利用设备、废弃物回收处理成套装备</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25</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人工智能</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电信设备、监控设备、数据中心设备</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26</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智能制造</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机器人及集成系统、智能物流装备</w:t>
            </w:r>
          </w:p>
        </w:tc>
      </w:tr>
      <w:tr>
        <w:tblPrEx>
          <w:tblCellMar>
            <w:top w:w="15" w:type="dxa"/>
            <w:left w:w="15" w:type="dxa"/>
            <w:bottom w:w="15" w:type="dxa"/>
            <w:right w:w="15" w:type="dxa"/>
          </w:tblCellMar>
        </w:tblPrEx>
        <w:trPr>
          <w:jc w:val="center"/>
        </w:trPr>
        <w:tc>
          <w:tcPr>
            <w:tcW w:w="652"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27</w:t>
            </w:r>
          </w:p>
        </w:tc>
        <w:tc>
          <w:tcPr>
            <w:tcW w:w="157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工业母机</w:t>
            </w:r>
          </w:p>
        </w:tc>
        <w:tc>
          <w:tcPr>
            <w:tcW w:w="6126"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减材制造装备、等材制造装备和增材制造装备</w:t>
            </w:r>
          </w:p>
        </w:tc>
      </w:tr>
    </w:tbl>
    <w:p>
      <w:pPr>
        <w:adjustRightInd w:val="0"/>
        <w:snapToGrid w:val="0"/>
        <w:spacing w:after="0" w:line="312" w:lineRule="auto"/>
        <w:ind w:firstLine="420" w:firstLineChars="200"/>
        <w:jc w:val="both"/>
        <w:rPr>
          <w:rFonts w:hint="eastAsia" w:ascii="仿宋" w:eastAsia="仿宋"/>
          <w:sz w:val="21"/>
        </w:rPr>
      </w:pPr>
    </w:p>
    <w:p>
      <w:pPr>
        <w:adjustRightInd w:val="0"/>
        <w:snapToGrid w:val="0"/>
        <w:spacing w:after="0" w:line="312" w:lineRule="auto"/>
        <w:ind w:firstLine="422" w:firstLineChars="200"/>
        <w:jc w:val="center"/>
        <w:rPr>
          <w:rFonts w:hint="eastAsia" w:ascii="仿宋" w:eastAsia="仿宋"/>
          <w:b/>
          <w:bCs/>
          <w:sz w:val="21"/>
        </w:rPr>
      </w:pPr>
      <w:r>
        <w:rPr>
          <w:rFonts w:hint="eastAsia" w:ascii="仿宋" w:eastAsia="仿宋"/>
          <w:b/>
          <w:bCs/>
          <w:sz w:val="21"/>
        </w:rPr>
        <w:t>金融租赁公司业务发展负面清单</w:t>
      </w:r>
    </w:p>
    <w:tbl>
      <w:tblPr>
        <w:tblStyle w:val="42"/>
        <w:tblW w:w="7645" w:type="dxa"/>
        <w:jc w:val="center"/>
        <w:tblLayout w:type="autofit"/>
        <w:tblCellMar>
          <w:top w:w="15" w:type="dxa"/>
          <w:left w:w="15" w:type="dxa"/>
          <w:bottom w:w="15" w:type="dxa"/>
          <w:right w:w="15" w:type="dxa"/>
        </w:tblCellMar>
      </w:tblPr>
      <w:tblGrid>
        <w:gridCol w:w="1495"/>
        <w:gridCol w:w="6150"/>
      </w:tblGrid>
      <w:tr>
        <w:trPr>
          <w:trHeight w:val="340" w:hRule="atLeast"/>
          <w:jc w:val="center"/>
        </w:trPr>
        <w:tc>
          <w:tcPr>
            <w:tcW w:w="1495" w:type="dxa"/>
            <w:vMerge w:val="restart"/>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禁止范围</w:t>
            </w:r>
          </w:p>
        </w:tc>
        <w:tc>
          <w:tcPr>
            <w:tcW w:w="6150"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构筑物</w:t>
            </w:r>
          </w:p>
        </w:tc>
      </w:tr>
      <w:tr>
        <w:tblPrEx>
          <w:tblCellMar>
            <w:top w:w="15" w:type="dxa"/>
            <w:left w:w="15" w:type="dxa"/>
            <w:bottom w:w="15" w:type="dxa"/>
            <w:right w:w="15" w:type="dxa"/>
          </w:tblCellMar>
        </w:tblPrEx>
        <w:trPr>
          <w:trHeight w:val="386" w:hRule="atLeast"/>
          <w:jc w:val="center"/>
        </w:trPr>
        <w:tc>
          <w:tcPr>
            <w:tcW w:w="0" w:type="auto"/>
            <w:vMerge w:val="continue"/>
            <w:tcBorders>
              <w:top w:val="single" w:color="auto" w:sz="8" w:space="0"/>
              <w:left w:val="single" w:color="auto" w:sz="8" w:space="0"/>
              <w:bottom w:val="single" w:color="auto" w:sz="8" w:space="0"/>
              <w:right w:val="single" w:color="auto" w:sz="8" w:space="0"/>
            </w:tcBorders>
            <w:vAlign w:val="center"/>
          </w:tcPr>
          <w:p>
            <w:pPr>
              <w:adjustRightInd w:val="0"/>
              <w:snapToGrid w:val="0"/>
              <w:spacing w:after="0" w:line="240" w:lineRule="auto"/>
              <w:jc w:val="both"/>
              <w:rPr>
                <w:rFonts w:ascii="仿宋" w:eastAsia="仿宋"/>
                <w:sz w:val="21"/>
              </w:rPr>
            </w:pPr>
          </w:p>
        </w:tc>
        <w:tc>
          <w:tcPr>
            <w:tcW w:w="6150"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古玩玉石、字画、办公桌椅、报刊书架、低值易耗品</w:t>
            </w:r>
          </w:p>
        </w:tc>
      </w:tr>
      <w:tr>
        <w:tblPrEx>
          <w:tblCellMar>
            <w:top w:w="15" w:type="dxa"/>
            <w:left w:w="15" w:type="dxa"/>
            <w:bottom w:w="15" w:type="dxa"/>
            <w:right w:w="15" w:type="dxa"/>
          </w:tblCellMar>
        </w:tblPrEx>
        <w:trPr>
          <w:trHeight w:val="521" w:hRule="atLeast"/>
          <w:jc w:val="center"/>
        </w:trPr>
        <w:tc>
          <w:tcPr>
            <w:tcW w:w="0" w:type="auto"/>
            <w:vMerge w:val="continue"/>
            <w:tcBorders>
              <w:top w:val="single" w:color="auto" w:sz="8" w:space="0"/>
              <w:left w:val="single" w:color="auto" w:sz="8" w:space="0"/>
              <w:bottom w:val="single" w:color="auto" w:sz="8" w:space="0"/>
              <w:right w:val="single" w:color="auto" w:sz="8" w:space="0"/>
            </w:tcBorders>
            <w:vAlign w:val="center"/>
          </w:tcPr>
          <w:p>
            <w:pPr>
              <w:adjustRightInd w:val="0"/>
              <w:snapToGrid w:val="0"/>
              <w:spacing w:after="0" w:line="240" w:lineRule="auto"/>
              <w:jc w:val="both"/>
              <w:rPr>
                <w:rFonts w:ascii="仿宋" w:eastAsia="仿宋"/>
                <w:sz w:val="21"/>
              </w:rPr>
            </w:pPr>
          </w:p>
        </w:tc>
        <w:tc>
          <w:tcPr>
            <w:tcW w:w="6150"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消费品（不含乘用车）</w:t>
            </w:r>
          </w:p>
        </w:tc>
      </w:tr>
    </w:tbl>
    <w:p>
      <w:pPr>
        <w:adjustRightInd w:val="0"/>
        <w:snapToGrid w:val="0"/>
        <w:spacing w:after="0" w:line="312" w:lineRule="auto"/>
        <w:ind w:firstLine="422" w:firstLineChars="200"/>
        <w:jc w:val="center"/>
        <w:rPr>
          <w:rFonts w:ascii="仿宋" w:eastAsia="仿宋"/>
          <w:b/>
          <w:bCs/>
          <w:sz w:val="21"/>
        </w:rPr>
      </w:pPr>
    </w:p>
    <w:p>
      <w:pPr>
        <w:adjustRightInd w:val="0"/>
        <w:snapToGrid w:val="0"/>
        <w:spacing w:after="0" w:line="312" w:lineRule="auto"/>
        <w:ind w:firstLine="422" w:firstLineChars="200"/>
        <w:jc w:val="center"/>
        <w:rPr>
          <w:rFonts w:ascii="仿宋" w:eastAsia="仿宋"/>
          <w:b/>
          <w:bCs/>
          <w:sz w:val="21"/>
        </w:rPr>
      </w:pPr>
      <w:r>
        <w:rPr>
          <w:rFonts w:hint="eastAsia" w:ascii="仿宋" w:eastAsia="仿宋"/>
          <w:b/>
          <w:bCs/>
          <w:sz w:val="21"/>
        </w:rPr>
        <w:t>金融租赁公司项目公司业务正面清单</w:t>
      </w:r>
    </w:p>
    <w:tbl>
      <w:tblPr>
        <w:tblStyle w:val="42"/>
        <w:tblW w:w="7645" w:type="dxa"/>
        <w:jc w:val="center"/>
        <w:tblLayout w:type="autofit"/>
        <w:tblCellMar>
          <w:top w:w="15" w:type="dxa"/>
          <w:left w:w="15" w:type="dxa"/>
          <w:bottom w:w="15" w:type="dxa"/>
          <w:right w:w="15" w:type="dxa"/>
        </w:tblCellMar>
      </w:tblPr>
      <w:tblGrid>
        <w:gridCol w:w="2175"/>
        <w:gridCol w:w="5470"/>
      </w:tblGrid>
      <w:tr>
        <w:tblPrEx>
          <w:tblCellMar>
            <w:top w:w="15" w:type="dxa"/>
            <w:left w:w="15" w:type="dxa"/>
            <w:bottom w:w="15" w:type="dxa"/>
            <w:right w:w="15" w:type="dxa"/>
          </w:tblCellMar>
        </w:tblPrEx>
        <w:trPr>
          <w:trHeight w:val="368" w:hRule="atLeast"/>
          <w:jc w:val="center"/>
        </w:trPr>
        <w:tc>
          <w:tcPr>
            <w:tcW w:w="2175" w:type="dxa"/>
            <w:vMerge w:val="restart"/>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金融租赁公司项目公司租赁物范围</w:t>
            </w:r>
          </w:p>
        </w:tc>
        <w:tc>
          <w:tcPr>
            <w:tcW w:w="5470"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航空器（含发动机）</w:t>
            </w:r>
          </w:p>
        </w:tc>
      </w:tr>
      <w:tr>
        <w:tblPrEx>
          <w:tblCellMar>
            <w:top w:w="15" w:type="dxa"/>
            <w:left w:w="15" w:type="dxa"/>
            <w:bottom w:w="15" w:type="dxa"/>
            <w:right w:w="15" w:type="dxa"/>
          </w:tblCellMar>
        </w:tblPrEx>
        <w:trPr>
          <w:trHeight w:val="388" w:hRule="atLeast"/>
          <w:jc w:val="center"/>
        </w:trPr>
        <w:tc>
          <w:tcPr>
            <w:tcW w:w="0" w:type="auto"/>
            <w:vMerge w:val="continue"/>
            <w:tcBorders>
              <w:top w:val="single" w:color="auto" w:sz="8" w:space="0"/>
              <w:left w:val="single" w:color="auto" w:sz="8" w:space="0"/>
              <w:bottom w:val="single" w:color="auto" w:sz="8" w:space="0"/>
              <w:right w:val="single" w:color="auto" w:sz="8" w:space="0"/>
            </w:tcBorders>
            <w:vAlign w:val="center"/>
          </w:tcPr>
          <w:p>
            <w:pPr>
              <w:adjustRightInd w:val="0"/>
              <w:snapToGrid w:val="0"/>
              <w:spacing w:after="0" w:line="240" w:lineRule="auto"/>
              <w:jc w:val="both"/>
              <w:rPr>
                <w:rFonts w:ascii="仿宋" w:eastAsia="仿宋"/>
                <w:sz w:val="21"/>
              </w:rPr>
            </w:pPr>
          </w:p>
        </w:tc>
        <w:tc>
          <w:tcPr>
            <w:tcW w:w="5470"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船舶</w:t>
            </w:r>
          </w:p>
        </w:tc>
      </w:tr>
      <w:tr>
        <w:tblPrEx>
          <w:tblCellMar>
            <w:top w:w="15" w:type="dxa"/>
            <w:left w:w="15" w:type="dxa"/>
            <w:bottom w:w="15" w:type="dxa"/>
            <w:right w:w="15" w:type="dxa"/>
          </w:tblCellMar>
        </w:tblPrEx>
        <w:trPr>
          <w:trHeight w:val="366" w:hRule="atLeast"/>
          <w:jc w:val="center"/>
        </w:trPr>
        <w:tc>
          <w:tcPr>
            <w:tcW w:w="0" w:type="auto"/>
            <w:vMerge w:val="continue"/>
            <w:tcBorders>
              <w:top w:val="single" w:color="auto" w:sz="8" w:space="0"/>
              <w:left w:val="single" w:color="auto" w:sz="8" w:space="0"/>
              <w:bottom w:val="single" w:color="auto" w:sz="8" w:space="0"/>
              <w:right w:val="single" w:color="auto" w:sz="8" w:space="0"/>
            </w:tcBorders>
            <w:vAlign w:val="center"/>
          </w:tcPr>
          <w:p>
            <w:pPr>
              <w:adjustRightInd w:val="0"/>
              <w:snapToGrid w:val="0"/>
              <w:spacing w:after="0" w:line="240" w:lineRule="auto"/>
              <w:jc w:val="both"/>
              <w:rPr>
                <w:rFonts w:ascii="仿宋" w:eastAsia="仿宋"/>
                <w:sz w:val="21"/>
              </w:rPr>
            </w:pPr>
          </w:p>
        </w:tc>
        <w:tc>
          <w:tcPr>
            <w:tcW w:w="5470"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集装箱</w:t>
            </w:r>
          </w:p>
        </w:tc>
      </w:tr>
      <w:tr>
        <w:tblPrEx>
          <w:tblCellMar>
            <w:top w:w="15" w:type="dxa"/>
            <w:left w:w="15" w:type="dxa"/>
            <w:bottom w:w="15" w:type="dxa"/>
            <w:right w:w="15" w:type="dxa"/>
          </w:tblCellMar>
        </w:tblPrEx>
        <w:trPr>
          <w:trHeight w:val="385" w:hRule="atLeast"/>
          <w:jc w:val="center"/>
        </w:trPr>
        <w:tc>
          <w:tcPr>
            <w:tcW w:w="0" w:type="auto"/>
            <w:vMerge w:val="continue"/>
            <w:tcBorders>
              <w:top w:val="single" w:color="auto" w:sz="8" w:space="0"/>
              <w:left w:val="single" w:color="auto" w:sz="8" w:space="0"/>
              <w:bottom w:val="single" w:color="auto" w:sz="8" w:space="0"/>
              <w:right w:val="single" w:color="auto" w:sz="8" w:space="0"/>
            </w:tcBorders>
            <w:vAlign w:val="center"/>
          </w:tcPr>
          <w:p>
            <w:pPr>
              <w:adjustRightInd w:val="0"/>
              <w:snapToGrid w:val="0"/>
              <w:spacing w:after="0" w:line="240" w:lineRule="auto"/>
              <w:jc w:val="both"/>
              <w:rPr>
                <w:rFonts w:ascii="仿宋" w:eastAsia="仿宋"/>
                <w:sz w:val="21"/>
              </w:rPr>
            </w:pPr>
          </w:p>
        </w:tc>
        <w:tc>
          <w:tcPr>
            <w:tcW w:w="5470"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海洋工程结构物</w:t>
            </w:r>
          </w:p>
        </w:tc>
      </w:tr>
      <w:tr>
        <w:tblPrEx>
          <w:tblCellMar>
            <w:top w:w="15" w:type="dxa"/>
            <w:left w:w="15" w:type="dxa"/>
            <w:bottom w:w="15" w:type="dxa"/>
            <w:right w:w="15" w:type="dxa"/>
          </w:tblCellMar>
        </w:tblPrEx>
        <w:trPr>
          <w:trHeight w:val="377" w:hRule="atLeast"/>
          <w:jc w:val="center"/>
        </w:trPr>
        <w:tc>
          <w:tcPr>
            <w:tcW w:w="0" w:type="auto"/>
            <w:vMerge w:val="continue"/>
            <w:tcBorders>
              <w:top w:val="single" w:color="auto" w:sz="8" w:space="0"/>
              <w:left w:val="single" w:color="auto" w:sz="8" w:space="0"/>
              <w:bottom w:val="single" w:color="auto" w:sz="8" w:space="0"/>
              <w:right w:val="single" w:color="auto" w:sz="8" w:space="0"/>
            </w:tcBorders>
            <w:vAlign w:val="center"/>
          </w:tcPr>
          <w:p>
            <w:pPr>
              <w:adjustRightInd w:val="0"/>
              <w:snapToGrid w:val="0"/>
              <w:spacing w:after="0" w:line="240" w:lineRule="auto"/>
              <w:jc w:val="both"/>
              <w:rPr>
                <w:rFonts w:ascii="仿宋" w:eastAsia="仿宋"/>
                <w:sz w:val="21"/>
              </w:rPr>
            </w:pPr>
          </w:p>
        </w:tc>
        <w:tc>
          <w:tcPr>
            <w:tcW w:w="5470"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工程机械</w:t>
            </w:r>
          </w:p>
        </w:tc>
      </w:tr>
      <w:tr>
        <w:tblPrEx>
          <w:tblCellMar>
            <w:top w:w="15" w:type="dxa"/>
            <w:left w:w="15" w:type="dxa"/>
            <w:bottom w:w="15" w:type="dxa"/>
            <w:right w:w="15" w:type="dxa"/>
          </w:tblCellMar>
        </w:tblPrEx>
        <w:trPr>
          <w:trHeight w:val="370" w:hRule="atLeast"/>
          <w:jc w:val="center"/>
        </w:trPr>
        <w:tc>
          <w:tcPr>
            <w:tcW w:w="0" w:type="auto"/>
            <w:vMerge w:val="continue"/>
            <w:tcBorders>
              <w:top w:val="single" w:color="auto" w:sz="8" w:space="0"/>
              <w:left w:val="single" w:color="auto" w:sz="8" w:space="0"/>
              <w:bottom w:val="single" w:color="auto" w:sz="8" w:space="0"/>
              <w:right w:val="single" w:color="auto" w:sz="8" w:space="0"/>
            </w:tcBorders>
            <w:vAlign w:val="center"/>
          </w:tcPr>
          <w:p>
            <w:pPr>
              <w:adjustRightInd w:val="0"/>
              <w:snapToGrid w:val="0"/>
              <w:spacing w:after="0" w:line="240" w:lineRule="auto"/>
              <w:jc w:val="both"/>
              <w:rPr>
                <w:rFonts w:ascii="仿宋" w:eastAsia="仿宋"/>
                <w:sz w:val="21"/>
              </w:rPr>
            </w:pPr>
          </w:p>
        </w:tc>
        <w:tc>
          <w:tcPr>
            <w:tcW w:w="5470"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车辆</w:t>
            </w:r>
          </w:p>
        </w:tc>
      </w:tr>
      <w:tr>
        <w:tblPrEx>
          <w:tblCellMar>
            <w:top w:w="15" w:type="dxa"/>
            <w:left w:w="15" w:type="dxa"/>
            <w:bottom w:w="15" w:type="dxa"/>
            <w:right w:w="15" w:type="dxa"/>
          </w:tblCellMar>
        </w:tblPrEx>
        <w:trPr>
          <w:trHeight w:val="376" w:hRule="atLeast"/>
          <w:jc w:val="center"/>
        </w:trPr>
        <w:tc>
          <w:tcPr>
            <w:tcW w:w="0" w:type="auto"/>
            <w:vMerge w:val="continue"/>
            <w:tcBorders>
              <w:top w:val="single" w:color="auto" w:sz="8" w:space="0"/>
              <w:left w:val="single" w:color="auto" w:sz="8" w:space="0"/>
              <w:bottom w:val="single" w:color="auto" w:sz="8" w:space="0"/>
              <w:right w:val="single" w:color="auto" w:sz="8" w:space="0"/>
            </w:tcBorders>
            <w:vAlign w:val="center"/>
          </w:tcPr>
          <w:p>
            <w:pPr>
              <w:adjustRightInd w:val="0"/>
              <w:snapToGrid w:val="0"/>
              <w:spacing w:after="0" w:line="240" w:lineRule="auto"/>
              <w:jc w:val="both"/>
              <w:rPr>
                <w:rFonts w:ascii="仿宋" w:eastAsia="仿宋"/>
                <w:sz w:val="21"/>
              </w:rPr>
            </w:pPr>
          </w:p>
        </w:tc>
        <w:tc>
          <w:tcPr>
            <w:tcW w:w="5470"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算力中心设备</w:t>
            </w:r>
          </w:p>
        </w:tc>
      </w:tr>
      <w:tr>
        <w:tblPrEx>
          <w:tblCellMar>
            <w:top w:w="15" w:type="dxa"/>
            <w:left w:w="15" w:type="dxa"/>
            <w:bottom w:w="15" w:type="dxa"/>
            <w:right w:w="15" w:type="dxa"/>
          </w:tblCellMar>
        </w:tblPrEx>
        <w:trPr>
          <w:trHeight w:val="367" w:hRule="atLeast"/>
          <w:jc w:val="center"/>
        </w:trPr>
        <w:tc>
          <w:tcPr>
            <w:tcW w:w="0" w:type="auto"/>
            <w:vMerge w:val="continue"/>
            <w:tcBorders>
              <w:top w:val="single" w:color="auto" w:sz="8" w:space="0"/>
              <w:left w:val="single" w:color="auto" w:sz="8" w:space="0"/>
              <w:bottom w:val="single" w:color="auto" w:sz="8" w:space="0"/>
              <w:right w:val="single" w:color="auto" w:sz="8" w:space="0"/>
            </w:tcBorders>
            <w:vAlign w:val="center"/>
          </w:tcPr>
          <w:p>
            <w:pPr>
              <w:adjustRightInd w:val="0"/>
              <w:snapToGrid w:val="0"/>
              <w:spacing w:after="0" w:line="240" w:lineRule="auto"/>
              <w:jc w:val="both"/>
              <w:rPr>
                <w:rFonts w:ascii="仿宋" w:eastAsia="仿宋"/>
                <w:sz w:val="21"/>
              </w:rPr>
            </w:pPr>
          </w:p>
        </w:tc>
        <w:tc>
          <w:tcPr>
            <w:tcW w:w="5470" w:type="dxa"/>
            <w:tcBorders>
              <w:top w:val="nil"/>
              <w:left w:val="nil"/>
              <w:bottom w:val="single" w:color="auto" w:sz="8" w:space="0"/>
              <w:right w:val="single" w:color="auto" w:sz="8" w:space="0"/>
            </w:tcBorders>
            <w:tcMar>
              <w:top w:w="0" w:type="dxa"/>
              <w:left w:w="108" w:type="dxa"/>
              <w:bottom w:w="0" w:type="dxa"/>
              <w:right w:w="108" w:type="dxa"/>
            </w:tcMar>
            <w:vAlign w:val="center"/>
          </w:tcPr>
          <w:p>
            <w:pPr>
              <w:adjustRightInd w:val="0"/>
              <w:snapToGrid w:val="0"/>
              <w:spacing w:after="0" w:line="240" w:lineRule="auto"/>
              <w:jc w:val="both"/>
              <w:rPr>
                <w:rFonts w:ascii="仿宋" w:eastAsia="仿宋"/>
                <w:sz w:val="21"/>
              </w:rPr>
            </w:pPr>
            <w:r>
              <w:rPr>
                <w:rFonts w:hint="eastAsia" w:ascii="仿宋" w:eastAsia="仿宋"/>
                <w:sz w:val="21"/>
              </w:rPr>
              <w:t>集成电路</w:t>
            </w:r>
          </w:p>
        </w:tc>
      </w:tr>
    </w:tbl>
    <w:p>
      <w:pPr>
        <w:adjustRightInd w:val="0"/>
        <w:snapToGrid w:val="0"/>
        <w:spacing w:after="0" w:line="312" w:lineRule="auto"/>
        <w:ind w:firstLine="420" w:firstLineChars="200"/>
        <w:jc w:val="both"/>
        <w:rPr>
          <w:rFonts w:ascii="仿宋" w:eastAsia="仿宋"/>
          <w:sz w:val="21"/>
        </w:rPr>
      </w:pPr>
    </w:p>
    <w:p>
      <w:pPr>
        <w:adjustRightInd w:val="0"/>
        <w:snapToGrid w:val="0"/>
        <w:spacing w:after="0" w:line="312" w:lineRule="auto"/>
        <w:jc w:val="center"/>
        <w:rPr>
          <w:rFonts w:ascii="仿宋" w:eastAsia="仿宋"/>
          <w:b/>
          <w:bCs/>
          <w:sz w:val="21"/>
        </w:rPr>
      </w:pPr>
      <w:r>
        <w:rPr>
          <w:rFonts w:hint="eastAsia" w:ascii="仿宋" w:eastAsia="仿宋"/>
          <w:b/>
          <w:bCs/>
          <w:sz w:val="21"/>
        </w:rPr>
        <w:t>国家金融监督管理总局有关司局负责人就《关于印发金融租赁公司业务发展</w:t>
      </w:r>
    </w:p>
    <w:p>
      <w:pPr>
        <w:adjustRightInd w:val="0"/>
        <w:snapToGrid w:val="0"/>
        <w:spacing w:after="0" w:line="312" w:lineRule="auto"/>
        <w:jc w:val="center"/>
        <w:rPr>
          <w:rFonts w:hint="eastAsia" w:ascii="仿宋" w:eastAsia="仿宋"/>
          <w:b/>
          <w:bCs/>
          <w:sz w:val="21"/>
        </w:rPr>
      </w:pPr>
      <w:r>
        <w:rPr>
          <w:rFonts w:hint="eastAsia" w:ascii="仿宋" w:eastAsia="仿宋"/>
          <w:b/>
          <w:bCs/>
          <w:sz w:val="21"/>
        </w:rPr>
        <w:t>鼓励清单、负面清单和项目公司业务正面清单的通知》答记者问</w:t>
      </w:r>
    </w:p>
    <w:p>
      <w:pPr>
        <w:adjustRightInd w:val="0"/>
        <w:snapToGrid w:val="0"/>
        <w:spacing w:after="0" w:line="312" w:lineRule="auto"/>
        <w:ind w:firstLine="420" w:firstLineChars="200"/>
        <w:jc w:val="both"/>
        <w:rPr>
          <w:rFonts w:hint="eastAsia" w:ascii="仿宋" w:eastAsia="仿宋"/>
          <w:sz w:val="21"/>
        </w:rPr>
      </w:pPr>
      <w:r>
        <w:rPr>
          <w:rFonts w:hint="eastAsia" w:ascii="仿宋" w:eastAsia="仿宋"/>
          <w:sz w:val="21"/>
        </w:rPr>
        <w:t>为深入贯彻落实党中央、国务院决策部署，引导金融租赁公司聚焦主责主业，坚持“有所为、有所不为”原则，更好发挥特色化功能，提供专业化金融服务，助力实体经济高质量发展。近日，国家金融监督管理总局（以下简称“金融监管总局”）发布《关于印发金融租赁公司业务发展鼓励清单、负面清单和项目公司业务正面清单的通知》（以下简称《通知》）。金融监管总局有关司局负责人就相关问题回答了记者提问。</w:t>
      </w:r>
    </w:p>
    <w:p>
      <w:pPr>
        <w:adjustRightInd w:val="0"/>
        <w:snapToGrid w:val="0"/>
        <w:spacing w:after="0" w:line="312" w:lineRule="auto"/>
        <w:ind w:firstLine="420" w:firstLineChars="200"/>
        <w:jc w:val="both"/>
        <w:rPr>
          <w:rFonts w:hint="eastAsia" w:ascii="仿宋" w:eastAsia="仿宋"/>
          <w:sz w:val="21"/>
        </w:rPr>
      </w:pPr>
      <w:r>
        <w:rPr>
          <w:rFonts w:hint="eastAsia" w:ascii="仿宋" w:eastAsia="仿宋"/>
          <w:sz w:val="21"/>
        </w:rPr>
        <w:t>一、《通知》的制定背景是什么？</w:t>
      </w:r>
    </w:p>
    <w:p>
      <w:pPr>
        <w:adjustRightInd w:val="0"/>
        <w:snapToGrid w:val="0"/>
        <w:spacing w:after="0" w:line="312" w:lineRule="auto"/>
        <w:ind w:firstLine="420" w:firstLineChars="200"/>
        <w:jc w:val="both"/>
        <w:rPr>
          <w:rFonts w:hint="eastAsia" w:ascii="仿宋" w:eastAsia="仿宋"/>
          <w:sz w:val="21"/>
        </w:rPr>
      </w:pPr>
      <w:r>
        <w:rPr>
          <w:rFonts w:hint="eastAsia" w:ascii="仿宋" w:eastAsia="仿宋"/>
          <w:sz w:val="21"/>
        </w:rPr>
        <w:t>2023年10月，金融监管总局印发了《关于促进金融租赁公司规范经营和合规管理的通知》（金规〔2023〕8号，以下简称8号文），初步明确了金融租赁公司鼓励清单和负面清单范围，列举了鼓励探索发展的重点业务领域，并将古玩玉石、字画、办公桌椅、报刊书架、低值易耗品以及乘用车之外的消费品作为禁止性业务领域。</w:t>
      </w:r>
    </w:p>
    <w:p>
      <w:pPr>
        <w:adjustRightInd w:val="0"/>
        <w:snapToGrid w:val="0"/>
        <w:spacing w:after="0" w:line="312" w:lineRule="auto"/>
        <w:ind w:firstLine="420" w:firstLineChars="200"/>
        <w:jc w:val="both"/>
        <w:rPr>
          <w:rFonts w:hint="eastAsia" w:ascii="仿宋" w:eastAsia="仿宋"/>
          <w:sz w:val="21"/>
        </w:rPr>
      </w:pPr>
      <w:r>
        <w:rPr>
          <w:rFonts w:hint="eastAsia" w:ascii="仿宋" w:eastAsia="仿宋"/>
          <w:sz w:val="21"/>
        </w:rPr>
        <w:t>为进一步贯彻落实中央金融工作会议精神，强化租赁业务发展正向引导，支持金融租赁公司发挥专业优势，做好服务经济社会发展“五篇大文章”，金融监管总局在8号文的基础上，研究制定了《通知》，引导金融租赁公司根据国家重大战略优化业务规划，调整业务结构，倾斜资源推动现代化产业体系建设，支持新质生产力发展。</w:t>
      </w:r>
    </w:p>
    <w:p>
      <w:pPr>
        <w:adjustRightInd w:val="0"/>
        <w:snapToGrid w:val="0"/>
        <w:spacing w:after="0" w:line="312" w:lineRule="auto"/>
        <w:ind w:firstLine="420" w:firstLineChars="200"/>
        <w:jc w:val="both"/>
        <w:rPr>
          <w:rFonts w:hint="eastAsia" w:ascii="仿宋" w:eastAsia="仿宋"/>
          <w:sz w:val="21"/>
        </w:rPr>
      </w:pPr>
      <w:r>
        <w:rPr>
          <w:rFonts w:hint="eastAsia" w:ascii="仿宋" w:eastAsia="仿宋"/>
          <w:sz w:val="21"/>
        </w:rPr>
        <w:t>二、《通知》的主要内容有哪些？</w:t>
      </w:r>
    </w:p>
    <w:p>
      <w:pPr>
        <w:adjustRightInd w:val="0"/>
        <w:snapToGrid w:val="0"/>
        <w:spacing w:after="0" w:line="312" w:lineRule="auto"/>
        <w:ind w:firstLine="420" w:firstLineChars="200"/>
        <w:jc w:val="both"/>
        <w:rPr>
          <w:rFonts w:hint="eastAsia" w:ascii="仿宋" w:eastAsia="仿宋"/>
          <w:sz w:val="21"/>
        </w:rPr>
      </w:pPr>
      <w:r>
        <w:rPr>
          <w:rFonts w:hint="eastAsia" w:ascii="仿宋" w:eastAsia="仿宋"/>
          <w:sz w:val="21"/>
        </w:rPr>
        <w:t>《通知》主要包括正文及金融租赁公司业务发展鼓励清单（以下简称鼓励清单）、负面清单（以下简称负面清单）和项目公司业务正面清单（以下简称正面清单）三项附件，具体内容如下：</w:t>
      </w:r>
    </w:p>
    <w:p>
      <w:pPr>
        <w:adjustRightInd w:val="0"/>
        <w:snapToGrid w:val="0"/>
        <w:spacing w:after="0" w:line="312" w:lineRule="auto"/>
        <w:ind w:firstLine="420" w:firstLineChars="200"/>
        <w:jc w:val="both"/>
        <w:rPr>
          <w:rFonts w:hint="eastAsia" w:ascii="仿宋" w:eastAsia="仿宋"/>
          <w:sz w:val="21"/>
        </w:rPr>
      </w:pPr>
      <w:r>
        <w:rPr>
          <w:rFonts w:hint="eastAsia" w:ascii="仿宋" w:eastAsia="仿宋"/>
          <w:sz w:val="21"/>
        </w:rPr>
        <w:t>《通知》正文明确了相关清单的上位法依据和与时俱进更新调整机制，同时要求金融租赁公司应当根据清单完善内部准入要求，调整业务规划，跟踪研判行业发展趋势并定期报送清单落实情况等。</w:t>
      </w:r>
    </w:p>
    <w:p>
      <w:pPr>
        <w:adjustRightInd w:val="0"/>
        <w:snapToGrid w:val="0"/>
        <w:spacing w:after="0" w:line="312" w:lineRule="auto"/>
        <w:ind w:firstLine="420" w:firstLineChars="200"/>
        <w:jc w:val="both"/>
        <w:rPr>
          <w:rFonts w:hint="eastAsia" w:ascii="仿宋" w:eastAsia="仿宋"/>
          <w:sz w:val="21"/>
        </w:rPr>
      </w:pPr>
      <w:r>
        <w:rPr>
          <w:rFonts w:hint="eastAsia" w:ascii="仿宋" w:eastAsia="仿宋"/>
          <w:sz w:val="21"/>
        </w:rPr>
        <w:t>鼓励清单以国家战略需求为导向，将农林牧渔、新能源、医药、船舶和海洋工程等27个产业中的农业机械、风电光伏、光热发电、医药研发、船舶等重要设备和重大技术装备纳入鼓励清单范围。负面清单重申了8号文中的禁止性业务领域要求，并明确新老划断原则，妥善处置存量业务。正面清单则是在《金融租赁公司项目公司管理办法》（银保监办发〔2021〕143号）第三条规定的租赁物范围基础上，结合前期部分金融租赁公司试点开展项目公司集成电路融资租赁业务经验成效，增加了集成电路和算力中心设备，以更好支持集成电路产业和算力基础设施发展。</w:t>
      </w:r>
    </w:p>
    <w:p>
      <w:pPr>
        <w:adjustRightInd w:val="0"/>
        <w:snapToGrid w:val="0"/>
        <w:spacing w:after="0" w:line="312" w:lineRule="auto"/>
        <w:ind w:firstLine="420" w:firstLineChars="200"/>
        <w:jc w:val="both"/>
        <w:rPr>
          <w:rFonts w:hint="eastAsia" w:ascii="仿宋" w:eastAsia="仿宋"/>
          <w:sz w:val="21"/>
        </w:rPr>
      </w:pPr>
      <w:r>
        <w:rPr>
          <w:rFonts w:hint="eastAsia" w:ascii="仿宋" w:eastAsia="仿宋"/>
          <w:sz w:val="21"/>
        </w:rPr>
        <w:t>三、下一步，金融监管总局将围绕《通知》落实开展哪些工作？</w:t>
      </w:r>
    </w:p>
    <w:p>
      <w:pPr>
        <w:adjustRightInd w:val="0"/>
        <w:snapToGrid w:val="0"/>
        <w:spacing w:after="0" w:line="312" w:lineRule="auto"/>
        <w:ind w:firstLine="420" w:firstLineChars="200"/>
        <w:jc w:val="both"/>
        <w:rPr>
          <w:rFonts w:hint="eastAsia" w:ascii="仿宋" w:eastAsia="仿宋"/>
          <w:sz w:val="21"/>
        </w:rPr>
      </w:pPr>
      <w:r>
        <w:rPr>
          <w:rFonts w:hint="eastAsia" w:ascii="仿宋" w:eastAsia="仿宋"/>
          <w:sz w:val="21"/>
        </w:rPr>
        <w:t>一是强化监管引领。金融监管总局将建立健全统计监测制度，优化监管评级体系，将金融租赁公司落实情况纳入日常监测和监管评级评价工作。各金融监管局要加强对金融租赁公司的督促指导，对落实不到位、执行走偏等问题及时纠正。</w:t>
      </w:r>
    </w:p>
    <w:p>
      <w:pPr>
        <w:adjustRightInd w:val="0"/>
        <w:snapToGrid w:val="0"/>
        <w:spacing w:after="0" w:line="312" w:lineRule="auto"/>
        <w:ind w:firstLine="420" w:firstLineChars="200"/>
        <w:jc w:val="both"/>
        <w:rPr>
          <w:rFonts w:hint="eastAsia" w:ascii="仿宋" w:eastAsia="仿宋"/>
          <w:sz w:val="21"/>
        </w:rPr>
      </w:pPr>
      <w:r>
        <w:rPr>
          <w:rFonts w:hint="eastAsia" w:ascii="仿宋" w:eastAsia="仿宋"/>
          <w:sz w:val="21"/>
        </w:rPr>
        <w:t>二是鼓励经验交流。金融监管总局将指导各金融监管局、行业协会加强调查研究，组织金融租赁公司沟通交流，及时总结并反馈良好做法和意见建议，加快形成可复制、可推广的实践经验。</w:t>
      </w:r>
    </w:p>
    <w:p>
      <w:pPr>
        <w:adjustRightInd w:val="0"/>
        <w:snapToGrid w:val="0"/>
        <w:spacing w:after="0" w:line="312" w:lineRule="auto"/>
        <w:ind w:firstLine="420" w:firstLineChars="200"/>
        <w:jc w:val="both"/>
        <w:rPr>
          <w:rFonts w:hint="eastAsia" w:ascii="仿宋" w:eastAsia="仿宋"/>
          <w:sz w:val="21"/>
        </w:rPr>
      </w:pPr>
      <w:r>
        <w:rPr>
          <w:rFonts w:hint="eastAsia" w:ascii="仿宋" w:eastAsia="仿宋"/>
          <w:sz w:val="21"/>
        </w:rPr>
        <w:t>三是与时俱进做好政策更新。金融监管总局将加强与国家发展改革委、工业和信息化部等行业主管部门沟通衔接，密切跟踪国家产业政策调整变化，及时更新清单内容。</w:t>
      </w:r>
    </w:p>
    <w:p>
      <w:pPr>
        <w:rPr>
          <w:rFonts w:ascii="仿宋" w:eastAsia="仿宋"/>
        </w:rPr>
      </w:pPr>
      <w:r>
        <w:rPr>
          <w:rFonts w:asci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