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188" w:name="_Toc520919575"/>
      <w:bookmarkStart w:id="1189" w:name="_Toc27438"/>
      <w:bookmarkStart w:id="1190" w:name="_Toc33532886"/>
      <w:bookmarkStart w:id="1191" w:name="_Toc520919864"/>
      <w:r>
        <w:rPr>
          <w:rFonts w:hint="eastAsia" w:ascii="仿宋" w:hAnsi="仿宋" w:eastAsia="仿宋"/>
          <w:sz w:val="21"/>
          <w:szCs w:val="21"/>
        </w:rPr>
        <w:t>**</w:t>
      </w:r>
      <w:r>
        <w:rPr>
          <w:rFonts w:ascii="仿宋" w:hAnsi="仿宋" w:eastAsia="仿宋"/>
          <w:sz w:val="21"/>
          <w:szCs w:val="21"/>
        </w:rPr>
        <w:t xml:space="preserve"> </w:t>
      </w:r>
      <w:r>
        <w:rPr>
          <w:rFonts w:hint="eastAsia" w:ascii="仿宋" w:hAnsi="仿宋" w:eastAsia="仿宋"/>
          <w:sz w:val="21"/>
          <w:szCs w:val="21"/>
        </w:rPr>
        <w:t xml:space="preserve"> 中国人民银行公告〔 2003〕第16号-</w:t>
      </w:r>
      <w:r>
        <w:rPr>
          <w:rFonts w:ascii="仿宋" w:hAnsi="仿宋" w:eastAsia="仿宋"/>
          <w:sz w:val="21"/>
          <w:szCs w:val="21"/>
        </w:rPr>
        <w:br w:type="textWrapping"/>
      </w:r>
      <w:r>
        <w:rPr>
          <w:rFonts w:hint="eastAsia" w:ascii="仿宋" w:hAnsi="仿宋" w:eastAsia="仿宋"/>
          <w:sz w:val="21"/>
          <w:szCs w:val="21"/>
        </w:rPr>
        <w:t>关于为香港银行开办人民币业务提供清算安排的公告</w:t>
      </w:r>
      <w:bookmarkEnd w:id="1188"/>
      <w:bookmarkEnd w:id="1189"/>
      <w:bookmarkEnd w:id="1190"/>
      <w:bookmarkEnd w:id="1191"/>
    </w:p>
    <w:p>
      <w:pPr>
        <w:spacing w:line="312" w:lineRule="auto"/>
        <w:ind w:firstLine="420" w:firstLineChars="200"/>
        <w:rPr>
          <w:rFonts w:hint="eastAsia" w:ascii="仿宋" w:hAnsi="仿宋" w:eastAsia="仿宋"/>
          <w:szCs w:val="21"/>
        </w:rPr>
      </w:pPr>
      <w:r>
        <w:rPr>
          <w:rFonts w:ascii="仿宋" w:hAnsi="仿宋" w:eastAsia="仿宋"/>
          <w:szCs w:val="21"/>
        </w:rPr>
        <w:t>为便利内地与香港特别行政区之间的经贸和人员往来，引导在香港的人民币有序回流，经国务院批准，中国人民银行将为在香港办理个人人民币存款、兑换、银行卡和汇款业务的有关银行提供清算安排。现公告如下：</w:t>
      </w:r>
    </w:p>
    <w:p>
      <w:pPr>
        <w:spacing w:line="312" w:lineRule="auto"/>
        <w:ind w:firstLine="420" w:firstLineChars="200"/>
        <w:rPr>
          <w:rFonts w:hint="eastAsia" w:ascii="仿宋" w:hAnsi="仿宋" w:eastAsia="仿宋"/>
          <w:szCs w:val="21"/>
        </w:rPr>
      </w:pPr>
      <w:r>
        <w:rPr>
          <w:rFonts w:ascii="仿宋" w:hAnsi="仿宋" w:eastAsia="仿宋"/>
          <w:bCs/>
          <w:szCs w:val="21"/>
        </w:rPr>
        <w:t>一、</w:t>
      </w:r>
      <w:r>
        <w:rPr>
          <w:rFonts w:ascii="仿宋" w:hAnsi="仿宋" w:eastAsia="仿宋"/>
          <w:szCs w:val="21"/>
        </w:rPr>
        <w:t>中国人民银行商香港金融管理局以公开、公正的方式选择一家具有丰富清算经验、拥有完备网络和熟悉两地金融管理政策法规的香港持牌银行，授权其作为香港有关银行办理人民币业务的清算行(以下简称清算行)，办理符合本公告规定的个人人民币业务的清算。</w:t>
      </w:r>
    </w:p>
    <w:p>
      <w:pPr>
        <w:spacing w:line="312" w:lineRule="auto"/>
        <w:ind w:firstLine="420" w:firstLineChars="200"/>
        <w:rPr>
          <w:rFonts w:hint="eastAsia" w:ascii="仿宋" w:hAnsi="仿宋" w:eastAsia="仿宋"/>
          <w:szCs w:val="21"/>
        </w:rPr>
      </w:pPr>
      <w:r>
        <w:rPr>
          <w:rFonts w:ascii="仿宋" w:hAnsi="仿宋" w:eastAsia="仿宋"/>
          <w:bCs/>
          <w:szCs w:val="21"/>
        </w:rPr>
        <w:t>二、</w:t>
      </w:r>
      <w:r>
        <w:rPr>
          <w:rFonts w:ascii="仿宋" w:hAnsi="仿宋" w:eastAsia="仿宋"/>
          <w:szCs w:val="21"/>
        </w:rPr>
        <w:t>清算行根据中国人民银行的授权，与自愿接受清算条件和安排、参加办理个人人民币业务的香港持牌银行(以下简称参加行)签订人民币业务清算协议，按协议为参加行办理清算业务。</w:t>
      </w:r>
    </w:p>
    <w:p>
      <w:pPr>
        <w:spacing w:line="312" w:lineRule="auto"/>
        <w:ind w:firstLine="420" w:firstLineChars="200"/>
        <w:rPr>
          <w:rFonts w:hint="eastAsia" w:ascii="仿宋" w:hAnsi="仿宋" w:eastAsia="仿宋"/>
          <w:szCs w:val="21"/>
        </w:rPr>
      </w:pPr>
      <w:r>
        <w:rPr>
          <w:rFonts w:ascii="仿宋" w:hAnsi="仿宋" w:eastAsia="仿宋"/>
          <w:bCs/>
          <w:szCs w:val="21"/>
        </w:rPr>
        <w:t>三、</w:t>
      </w:r>
      <w:r>
        <w:rPr>
          <w:rFonts w:ascii="仿宋" w:hAnsi="仿宋" w:eastAsia="仿宋"/>
          <w:szCs w:val="21"/>
        </w:rPr>
        <w:t>中国人民银行深圳市中心支行为清算行开立清算账户，接受清算行的存款，并支付利息。清算行的存款仅为其接受参加行所吸收的香港居民个人的人民币存款。</w:t>
      </w:r>
    </w:p>
    <w:p>
      <w:pPr>
        <w:spacing w:line="312" w:lineRule="auto"/>
        <w:ind w:firstLine="420" w:firstLineChars="200"/>
        <w:rPr>
          <w:rFonts w:hint="eastAsia" w:ascii="仿宋" w:hAnsi="仿宋" w:eastAsia="仿宋"/>
          <w:szCs w:val="21"/>
        </w:rPr>
      </w:pPr>
      <w:r>
        <w:rPr>
          <w:rFonts w:ascii="仿宋" w:hAnsi="仿宋" w:eastAsia="仿宋"/>
          <w:bCs/>
          <w:szCs w:val="21"/>
        </w:rPr>
        <w:t>四、</w:t>
      </w:r>
      <w:r>
        <w:rPr>
          <w:rFonts w:ascii="仿宋" w:hAnsi="仿宋" w:eastAsia="仿宋"/>
          <w:szCs w:val="21"/>
        </w:rPr>
        <w:t>清算行可作为中国外汇交易中心的会员，办理人民币与港币兑换业务的平盘。</w:t>
      </w:r>
    </w:p>
    <w:p>
      <w:pPr>
        <w:spacing w:line="312" w:lineRule="auto"/>
        <w:ind w:firstLine="420" w:firstLineChars="200"/>
        <w:rPr>
          <w:rFonts w:hint="eastAsia" w:ascii="仿宋" w:hAnsi="仿宋" w:eastAsia="仿宋"/>
          <w:szCs w:val="21"/>
        </w:rPr>
      </w:pPr>
      <w:r>
        <w:rPr>
          <w:rFonts w:ascii="仿宋" w:hAnsi="仿宋" w:eastAsia="仿宋"/>
          <w:bCs/>
          <w:szCs w:val="21"/>
        </w:rPr>
        <w:t>五、</w:t>
      </w:r>
      <w:r>
        <w:rPr>
          <w:rFonts w:ascii="仿宋" w:hAnsi="仿宋" w:eastAsia="仿宋"/>
          <w:szCs w:val="21"/>
        </w:rPr>
        <w:t>中国人民银行授权清算行为参加行符合下列要求的人民币与港币兑换业务提供平盘服务。</w:t>
      </w:r>
    </w:p>
    <w:p>
      <w:pPr>
        <w:spacing w:line="312" w:lineRule="auto"/>
        <w:ind w:firstLine="420" w:firstLineChars="200"/>
        <w:rPr>
          <w:rFonts w:hint="eastAsia" w:ascii="仿宋" w:hAnsi="仿宋" w:eastAsia="仿宋"/>
          <w:szCs w:val="21"/>
        </w:rPr>
      </w:pPr>
      <w:r>
        <w:rPr>
          <w:rFonts w:ascii="仿宋" w:hAnsi="仿宋" w:eastAsia="仿宋"/>
          <w:szCs w:val="21"/>
        </w:rPr>
        <w:t>(一)个人每人每次不超过等值6000元人民币的现钞兑换；</w:t>
      </w:r>
    </w:p>
    <w:p>
      <w:pPr>
        <w:spacing w:line="312" w:lineRule="auto"/>
        <w:ind w:firstLine="420" w:firstLineChars="200"/>
        <w:rPr>
          <w:rFonts w:hint="eastAsia" w:ascii="仿宋" w:hAnsi="仿宋" w:eastAsia="仿宋"/>
          <w:szCs w:val="21"/>
        </w:rPr>
      </w:pPr>
      <w:r>
        <w:rPr>
          <w:rFonts w:ascii="仿宋" w:hAnsi="仿宋" w:eastAsia="仿宋"/>
          <w:szCs w:val="21"/>
        </w:rPr>
        <w:t>(二)个人通过存款账户每人每天不超过等值20000元人民币的兑换；</w:t>
      </w:r>
    </w:p>
    <w:p>
      <w:pPr>
        <w:spacing w:line="312" w:lineRule="auto"/>
        <w:ind w:firstLine="420" w:firstLineChars="200"/>
        <w:rPr>
          <w:rFonts w:hint="eastAsia" w:ascii="仿宋" w:hAnsi="仿宋" w:eastAsia="仿宋"/>
          <w:szCs w:val="21"/>
        </w:rPr>
      </w:pPr>
      <w:r>
        <w:rPr>
          <w:rFonts w:ascii="仿宋" w:hAnsi="仿宋" w:eastAsia="仿宋"/>
          <w:szCs w:val="21"/>
        </w:rPr>
        <w:t>(三)在香港提供购物、餐饮、住宿等个人旅游消费服务的指定商户收取的人民币现钞兑换港币。</w:t>
      </w:r>
    </w:p>
    <w:p>
      <w:pPr>
        <w:spacing w:line="312" w:lineRule="auto"/>
        <w:ind w:firstLine="420" w:firstLineChars="200"/>
        <w:rPr>
          <w:rFonts w:hint="eastAsia" w:ascii="仿宋" w:hAnsi="仿宋" w:eastAsia="仿宋"/>
          <w:szCs w:val="21"/>
        </w:rPr>
      </w:pPr>
      <w:r>
        <w:rPr>
          <w:rFonts w:ascii="仿宋" w:hAnsi="仿宋" w:eastAsia="仿宋"/>
          <w:bCs/>
          <w:szCs w:val="21"/>
        </w:rPr>
        <w:t>六、</w:t>
      </w:r>
      <w:r>
        <w:rPr>
          <w:rFonts w:ascii="仿宋" w:hAnsi="仿宋" w:eastAsia="仿宋"/>
          <w:szCs w:val="21"/>
        </w:rPr>
        <w:t>有关个人人民币银行卡的清算事宜由清算行、中国银联股份有限公司组织办理。内地居民可使用内地银行发行的个人人民币银行卡在香港用于购物、餐饮、住宿等旅游消费支付，以及在香港自动取款机上提取小额港币现钞。参加行或其附属机构向香港居民个人发行的人民币银行卡可在内地用于个人消费支付，以及在内地自动取款机上提取小额人民币现钞。</w:t>
      </w:r>
    </w:p>
    <w:p>
      <w:pPr>
        <w:spacing w:line="312" w:lineRule="auto"/>
        <w:ind w:firstLine="420" w:firstLineChars="200"/>
        <w:rPr>
          <w:rFonts w:hint="eastAsia" w:ascii="仿宋" w:hAnsi="仿宋" w:eastAsia="仿宋"/>
          <w:szCs w:val="21"/>
        </w:rPr>
      </w:pPr>
      <w:r>
        <w:rPr>
          <w:rFonts w:ascii="仿宋" w:hAnsi="仿宋" w:eastAsia="仿宋"/>
          <w:bCs/>
          <w:szCs w:val="21"/>
        </w:rPr>
        <w:t>七、</w:t>
      </w:r>
      <w:r>
        <w:rPr>
          <w:rFonts w:ascii="仿宋" w:hAnsi="仿宋" w:eastAsia="仿宋"/>
          <w:szCs w:val="21"/>
        </w:rPr>
        <w:t>具有个人人民币业务经营资格的内地银行可以接受经由清算行汇入的香港居民个人人民币汇款，该汇款的收款人须为汇款人，每人每天的人民币汇款最高限额为50000元。内地银行按有关规定办理汇款的解付。未提用的人民币汇入款经审核后可汇回香港。</w:t>
      </w:r>
    </w:p>
    <w:p>
      <w:pPr>
        <w:spacing w:line="312" w:lineRule="auto"/>
        <w:ind w:firstLine="420" w:firstLineChars="200"/>
        <w:rPr>
          <w:rFonts w:hint="eastAsia" w:ascii="仿宋" w:hAnsi="仿宋" w:eastAsia="仿宋"/>
          <w:szCs w:val="21"/>
        </w:rPr>
      </w:pPr>
      <w:r>
        <w:rPr>
          <w:rFonts w:ascii="仿宋" w:hAnsi="仿宋" w:eastAsia="仿宋"/>
          <w:bCs/>
          <w:szCs w:val="21"/>
        </w:rPr>
        <w:t>八、</w:t>
      </w:r>
      <w:r>
        <w:rPr>
          <w:rFonts w:ascii="仿宋" w:hAnsi="仿宋" w:eastAsia="仿宋"/>
          <w:szCs w:val="21"/>
        </w:rPr>
        <w:t>上述安排将在各项技术准备完成后，于近期内陆续实施。</w:t>
      </w:r>
    </w:p>
    <w:p>
      <w:pPr>
        <w:spacing w:line="312" w:lineRule="auto"/>
        <w:ind w:firstLine="420" w:firstLineChars="200"/>
        <w:rPr>
          <w:rFonts w:hint="eastAsia" w:ascii="仿宋" w:hAnsi="仿宋" w:eastAsia="仿宋"/>
          <w:szCs w:val="21"/>
        </w:rPr>
      </w:pPr>
    </w:p>
    <w:p>
      <w:pPr>
        <w:spacing w:line="312" w:lineRule="auto"/>
        <w:ind w:firstLine="420" w:firstLineChars="200"/>
        <w:jc w:val="right"/>
        <w:rPr>
          <w:rFonts w:hint="eastAsia" w:ascii="仿宋" w:hAnsi="仿宋" w:eastAsia="仿宋"/>
          <w:szCs w:val="21"/>
        </w:rPr>
      </w:pPr>
      <w:r>
        <w:rPr>
          <w:rFonts w:ascii="仿宋" w:hAnsi="仿宋" w:eastAsia="仿宋"/>
          <w:szCs w:val="21"/>
        </w:rPr>
        <w:t>人民银行</w:t>
      </w:r>
    </w:p>
    <w:p>
      <w:pPr>
        <w:spacing w:line="312" w:lineRule="auto"/>
        <w:ind w:firstLine="420" w:firstLineChars="200"/>
        <w:jc w:val="right"/>
        <w:rPr>
          <w:rFonts w:hint="eastAsia" w:ascii="仿宋" w:hAnsi="仿宋" w:eastAsia="仿宋"/>
          <w:szCs w:val="21"/>
        </w:rPr>
      </w:pPr>
      <w:r>
        <w:rPr>
          <w:rFonts w:ascii="仿宋" w:hAnsi="仿宋" w:eastAsia="仿宋"/>
          <w:szCs w:val="21"/>
        </w:rPr>
        <w:t>二○○三年十一月十九日</w:t>
      </w:r>
    </w:p>
    <w:p>
      <w:pPr>
        <w:spacing w:line="312" w:lineRule="auto"/>
        <w:ind w:firstLine="420" w:firstLineChars="200"/>
        <w:rPr>
          <w:rFonts w:hint="eastAsia" w:ascii="仿宋" w:hAnsi="仿宋" w:eastAsia="仿宋"/>
          <w:szCs w:val="21"/>
        </w:rPr>
      </w:pPr>
    </w:p>
    <w:p>
      <w:pPr>
        <w:rPr>
          <w:rFonts w:hint="eastAsia" w:ascii="仿宋" w:hAnsi="仿宋" w:eastAsia="仿宋"/>
          <w:szCs w:val="21"/>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