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56" w:afterLines="50" w:line="240" w:lineRule="auto"/>
        <w:jc w:val="center"/>
        <w:rPr>
          <w:rFonts w:hint="eastAsia" w:ascii="仿宋" w:hAnsi="仿宋" w:eastAsia="仿宋"/>
          <w:sz w:val="21"/>
          <w:szCs w:val="21"/>
        </w:rPr>
      </w:pPr>
      <w:bookmarkStart w:id="892" w:name="_Toc33532796"/>
      <w:bookmarkStart w:id="893" w:name="_Toc9196"/>
      <w:bookmarkStart w:id="894" w:name="_Toc520919502"/>
      <w:bookmarkStart w:id="895" w:name="_Toc520919791"/>
      <w:r>
        <w:rPr>
          <w:rFonts w:hint="eastAsia" w:ascii="仿宋" w:hAnsi="仿宋" w:eastAsia="仿宋"/>
          <w:sz w:val="21"/>
          <w:szCs w:val="21"/>
        </w:rPr>
        <w:t>112</w:t>
      </w:r>
      <w:r>
        <w:rPr>
          <w:rFonts w:ascii="仿宋" w:hAnsi="仿宋" w:eastAsia="仿宋"/>
          <w:sz w:val="21"/>
          <w:szCs w:val="21"/>
        </w:rPr>
        <w:t xml:space="preserve"> </w:t>
      </w:r>
      <w:r>
        <w:rPr>
          <w:rFonts w:hint="eastAsia" w:ascii="仿宋" w:hAnsi="仿宋" w:eastAsia="仿宋"/>
          <w:sz w:val="21"/>
          <w:szCs w:val="21"/>
        </w:rPr>
        <w:t xml:space="preserve"> 国家外汇管理局关于境内居民个人以外汇抵押人民币贷款政策问题的通知 </w:t>
      </w:r>
      <w:r>
        <w:rPr>
          <w:rFonts w:ascii="仿宋" w:hAnsi="仿宋" w:eastAsia="仿宋"/>
          <w:sz w:val="21"/>
          <w:szCs w:val="21"/>
        </w:rPr>
        <w:br w:type="textWrapping"/>
      </w:r>
      <w:r>
        <w:rPr>
          <w:rFonts w:ascii="仿宋" w:hAnsi="仿宋" w:eastAsia="仿宋"/>
          <w:sz w:val="21"/>
          <w:szCs w:val="21"/>
        </w:rPr>
        <w:t xml:space="preserve"> </w:t>
      </w:r>
      <w:r>
        <w:rPr>
          <w:rFonts w:hint="eastAsia" w:ascii="仿宋" w:hAnsi="仿宋" w:eastAsia="仿宋"/>
          <w:sz w:val="21"/>
          <w:szCs w:val="21"/>
        </w:rPr>
        <w:t>（汇发〔2003〕2号）</w:t>
      </w:r>
      <w:bookmarkEnd w:id="892"/>
      <w:bookmarkEnd w:id="893"/>
      <w:bookmarkEnd w:id="894"/>
      <w:bookmarkEnd w:id="895"/>
    </w:p>
    <w:p>
      <w:pPr>
        <w:adjustRightInd w:val="0"/>
        <w:snapToGrid w:val="0"/>
        <w:spacing w:line="312" w:lineRule="auto"/>
        <w:rPr>
          <w:rFonts w:hint="eastAsia" w:ascii="仿宋" w:hAnsi="仿宋" w:eastAsia="仿宋"/>
          <w:szCs w:val="21"/>
        </w:rPr>
      </w:pPr>
      <w:r>
        <w:rPr>
          <w:rFonts w:hint="eastAsia" w:ascii="仿宋" w:hAnsi="仿宋" w:eastAsia="仿宋"/>
          <w:szCs w:val="21"/>
        </w:rPr>
        <w:t>国家外汇管理局各省、自治区、直辖市分局、外汇管理部，深圳、大连、青岛、厦门、宁波市分局：</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为规范外汇质押行为，现将有关规定明确如下：</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根据中国人民银行《个人定期储蓄存款存单小额抵押贷款办法》(银发〔1994〕316号)的规定，储蓄机构的外汇小额抵押人民币贷款只对中国境内居民个人开办，且借款人申请此项贷款时应当持本人的居民身份证明以及本人名下外币定期储蓄存款存单，不得用他人的存单作质押。</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 xml:space="preserve">二、除中国人民银行和国家外汇管理局有明确规定外，不允许境内居民个人外汇用于自身小额抵押贷款之外的其他任何形式的质押。 </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根据中国人民银行《关于改进外汇担保项下人民币贷款管理的通知》（银发〔1999〕223号）的规定，目前中资外汇指定银行对企业发放的外汇担保项下人民币贷款，发放对象仅限于外商投资企业，且只能由境外金融机构或境内外资金融机构提供信用保证或用外商投资企业自有外汇(含资本金、外债、经常项目项下收入)进行质押。</w:t>
      </w:r>
      <w:r>
        <w:rPr>
          <w:rFonts w:hint="eastAsia" w:ascii="仿宋" w:hAnsi="仿宋" w:eastAsia="仿宋"/>
          <w:szCs w:val="21"/>
          <w:vertAlign w:val="superscript"/>
        </w:rPr>
        <w:t xml:space="preserve"> </w:t>
      </w:r>
      <w:r>
        <w:rPr>
          <w:rStyle w:val="93"/>
          <w:rFonts w:ascii="仿宋" w:hAnsi="仿宋" w:eastAsia="仿宋"/>
          <w:szCs w:val="21"/>
          <w:vertAlign w:val="superscript"/>
        </w:rPr>
        <w:footnoteReference w:id="90"/>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 xml:space="preserve">四、以前规定中有与本通知相抵触的，以本通知为准。《国家外汇管理局关于境内居民个人外汇抵押人民币贷款业务的批复》(汇复〔2002〕121号)中“在中国人民银行和国家外汇管理局出台明确规定之前，暂不允许以境内个人外汇收入质押发放人民币贷款”的内容停止执行。 </w:t>
      </w: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jc w:val="right"/>
        <w:rPr>
          <w:rFonts w:hint="eastAsia" w:ascii="仿宋" w:hAnsi="仿宋" w:eastAsia="仿宋"/>
          <w:szCs w:val="21"/>
        </w:rPr>
      </w:pPr>
      <w:r>
        <w:rPr>
          <w:rFonts w:hint="eastAsia" w:ascii="仿宋" w:hAnsi="仿宋" w:eastAsia="仿宋"/>
          <w:szCs w:val="21"/>
        </w:rPr>
        <w:t>2003年1月6日</w:t>
      </w:r>
    </w:p>
    <w:p>
      <w:pPr>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