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20" w:afterLines="50" w:line="240" w:lineRule="auto"/>
        <w:jc w:val="center"/>
        <w:rPr>
          <w:rFonts w:hint="eastAsia" w:ascii="仿宋" w:hAnsi="仿宋" w:eastAsia="仿宋"/>
          <w:sz w:val="21"/>
          <w:szCs w:val="21"/>
        </w:rPr>
      </w:pPr>
      <w:bookmarkStart w:id="923" w:name="_Toc11136"/>
      <w:r>
        <w:rPr>
          <w:rFonts w:hint="eastAsia" w:ascii="仿宋" w:hAnsi="仿宋" w:eastAsia="仿宋"/>
          <w:sz w:val="21"/>
          <w:szCs w:val="21"/>
        </w:rPr>
        <w:t>121</w:t>
      </w:r>
      <w:r>
        <w:rPr>
          <w:rFonts w:ascii="仿宋" w:hAnsi="仿宋" w:eastAsia="仿宋"/>
          <w:sz w:val="21"/>
          <w:szCs w:val="21"/>
        </w:rPr>
        <w:t xml:space="preserve">  </w:t>
      </w:r>
      <w:r>
        <w:rPr>
          <w:rFonts w:hint="eastAsia" w:ascii="仿宋" w:hAnsi="仿宋" w:eastAsia="仿宋"/>
          <w:sz w:val="21"/>
          <w:szCs w:val="21"/>
        </w:rPr>
        <w:t>国家外汇管理局关于进一步促进外汇市场服务实体经济有关措施的通知</w:t>
      </w:r>
      <w:r>
        <w:rPr>
          <w:rFonts w:ascii="仿宋" w:hAnsi="仿宋" w:eastAsia="仿宋"/>
          <w:sz w:val="21"/>
          <w:szCs w:val="21"/>
        </w:rPr>
        <w:br w:type="textWrapping"/>
      </w:r>
      <w:r>
        <w:rPr>
          <w:rFonts w:hint="eastAsia" w:ascii="仿宋" w:hAnsi="仿宋" w:eastAsia="仿宋"/>
          <w:sz w:val="21"/>
          <w:szCs w:val="21"/>
        </w:rPr>
        <w:t>汇发〔</w:t>
      </w:r>
      <w:r>
        <w:rPr>
          <w:rFonts w:ascii="仿宋" w:hAnsi="仿宋" w:eastAsia="仿宋"/>
          <w:sz w:val="21"/>
          <w:szCs w:val="21"/>
        </w:rPr>
        <w:t>2022〕15号</w:t>
      </w:r>
      <w:bookmarkEnd w:id="923"/>
    </w:p>
    <w:p>
      <w:pPr>
        <w:adjustRightInd w:val="0"/>
        <w:snapToGrid w:val="0"/>
        <w:spacing w:line="312" w:lineRule="auto"/>
        <w:rPr>
          <w:rFonts w:hint="eastAsia" w:ascii="仿宋" w:hAnsi="仿宋" w:eastAsia="仿宋"/>
        </w:rPr>
      </w:pPr>
      <w:r>
        <w:rPr>
          <w:rFonts w:hint="eastAsia" w:ascii="仿宋" w:hAnsi="仿宋" w:eastAsia="仿宋"/>
        </w:rPr>
        <w:t>国家外汇管理局各省、自治区、直辖市分局、外汇管理部，深圳、大连、青岛、厦门、宁波市分局，各全国性中资银行，中国外汇交易中心、银行间市场清算所股份有限公司：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为进一步促进外汇市场发展，更好服务市场主体管理外汇风险，现就有关事项通知如下：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一、金融机构应持续加强服务实体经济汇率风险管理的能力建设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引导客户树立风险中性理念。支持企业管理好汇率风险，综合考虑产品类型、客户分类和套期保值需求特征，为客户办理与其风险承受能力相适应和套期保值需求相一致的外汇衍生品业务，降低生产经营不确定性。注意引导客户遵循“保值”而非“增值”为核心的汇率风险管理原则，聚焦主业、套保避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坚持实需原则，按照“了解客户”、“了解业务”和“尽职审查”原则灵活展业。在与客户达成合约前，根据客户拟叙做人民币对外汇衍生品的基础交易实际情况，有针对性地灵活运用客户身份识别、客户适合度评估、交易背景调查、业务单据审核、客户声明或确认函等一种或多种方法确认所办业务是否符合实需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（三）持续提升基层机构外汇衍生品服务能力。强化对中小微企业的汇率风险管理服务，加强面向企业的外汇政策传导，提供精细化和专业化的套期保值服务，充分响应企业对基层外汇服务的需求。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二、丰富对客户外汇市场产品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（一）对客户外汇市场新增人民币对外汇普通美式期权、亚式期权及其组合产品。已具备对客户期权业务资格的金融机构，可自行开展上述新产品业务。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所称普通美式期权，是指期权买方可以在到期日或到期日之前任何一天或到期日前约定的时段行权的标准期权。亚式期权，是指期权结算价或行权价取决于有效期内某一段时间观察值的平均值，分为平均价格期权和平均执行价格期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（二）金融机构为客户办理人民币对外汇衍生品业务，可根据客户外汇风险管理的实际需要，灵活选择反向平仓、全额或差额结算等交易机制。用于确定结算金额使用的参考价应是境内真实、有效的市场汇率。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对于人民币对外汇衍生品项下的损益、期权费，境内客户应以人民币结算，境外客户可以选择人民币或外币结算，但不得将损益、期权费分别按本外币结算。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（三）金融机构基于实需原则为客户办理外币对衍生品业务，反向平仓、差额结算产生的损益，可为客户办理相应的结售汇。金融机构不得协助客户开展规避外汇管理规定的外币对衍生品业务。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（四）金融机构与客户开展近远端人民币金额相同、外币金额不同的人民币外汇掉期产生的外汇敞口，可以纳入结售汇综合头寸统一管理。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三、支持中国外汇交易中心和银行间市场清算所股份有限公司提升外汇市场服务水平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（一）银行间外汇市场新增人民币对外汇普通美式期权、亚式期权及其组合产品，中国外汇交易中心和银行间市场清算所股份有限公司（以下简称上海清算所）应做好技术支持和市场服务。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（二）中国外汇交易中心可根据市场需求扩大银行间人民币对外汇衍生品的币种覆盖范围，上海清算所可根据市场需求拓展人民币外汇中央对手清算业务的期限和币种覆盖范围。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（三）支持中国外汇交易中心完善银企服务平台，实现企业电子化多银行询价、交易和全流程管理，降低企业交易成本，便利企业外汇交易和风险管理。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四、扩大合作办理人民币对外汇衍生品业务范围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具备资格银行可向合作银行提供相应产品资格的人民币对外汇合作衍生品业务服务，包括合作远期结售汇、合作外汇掉期、合作货币掉期。符合《银行合作办理人民币对外汇衍生品业务细则》（见附件）要求的合作银行可按规定开展合作人民币对外汇衍生品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前款所称具备资格银行指具备相应衍生产品资格的银行间外汇市场做市商（包括尝试做市机构）及其分支机构。合作银行指境内不具备经营人民币对外汇衍生品业务资格的银行及其分支机构。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五、支持银行自身外汇风险管理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（一）银行资本金（营运资金）本外币转换，符合下列情形的，银行可自行审核并留存有关真实性资料后办理，但应提前</w:t>
      </w:r>
      <w:r>
        <w:rPr>
          <w:rFonts w:ascii="仿宋" w:hAnsi="仿宋" w:eastAsia="仿宋"/>
        </w:rPr>
        <w:t>20日书面告知所在地外汇局分局：</w:t>
      </w:r>
    </w:p>
    <w:p>
      <w:pPr>
        <w:adjustRightInd w:val="0"/>
        <w:snapToGrid w:val="0"/>
        <w:spacing w:line="312" w:lineRule="auto"/>
        <w:ind w:firstLine="420" w:firstLineChars="200"/>
        <w:rPr>
          <w:rFonts w:hint="eastAsia" w:ascii="仿宋" w:hAnsi="仿宋" w:eastAsia="仿宋"/>
        </w:rPr>
      </w:pPr>
      <w:r>
        <w:rPr>
          <w:rFonts w:ascii="仿宋" w:hAnsi="仿宋" w:eastAsia="仿宋"/>
        </w:rPr>
        <w:t>1.符合《银行办理结售汇业务管理办法实施细则》（汇发〔2014〕53号）第二十五条第（一）款要求，本条第（二）款规定的政策性注资情形除外。</w:t>
      </w:r>
    </w:p>
    <w:p>
      <w:pPr>
        <w:adjustRightInd w:val="0"/>
        <w:snapToGrid w:val="0"/>
        <w:spacing w:line="312" w:lineRule="auto"/>
        <w:ind w:firstLine="420" w:firstLineChars="200"/>
        <w:rPr>
          <w:rFonts w:hint="eastAsia" w:ascii="仿宋" w:hAnsi="仿宋" w:eastAsia="仿宋"/>
        </w:rPr>
      </w:pPr>
      <w:r>
        <w:rPr>
          <w:rFonts w:ascii="仿宋" w:hAnsi="仿宋" w:eastAsia="仿宋"/>
        </w:rPr>
        <w:t>2.外资银行因法人化改制或发展人民币业务需要将外汇资本金结汇。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（二）银行因政策性注资背景产生的资本金（营运资金）本外币转换，仍按照《银行办理结售汇业务管理办法实施细则》（汇发〔</w:t>
      </w:r>
      <w:r>
        <w:rPr>
          <w:rFonts w:ascii="仿宋" w:hAnsi="仿宋" w:eastAsia="仿宋"/>
        </w:rPr>
        <w:t>2014〕53号）办理。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在境内办理以人民币计价的即期贵金属（包括但不限于黄金、白银、铂金）买卖业务，以及在上海黄金交易所从事的黄金和白银现货延期交收业务，在境外市场平盘贵金属交易敞口而形成的外汇敞口，可自行办理自身结售汇交易平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行自身项下的黄金进口、利润、资本金（营运资金，不含政策性注资）、直接投资等形成的外汇敞口，可按照实需原则办理人民币对外汇衍生品业务进行套期保值，并应自行留存有关真实性或支持性材料。银行自身项下衍生品交易视同对客衍生品交易纳入银行结售汇统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六、本通知自发布之日起实施。《国家外汇管理局关于合作办理远期结售汇业务有关问题的通知》（汇发〔</w:t>
      </w:r>
      <w:r>
        <w:rPr>
          <w:rFonts w:ascii="仿宋" w:hAnsi="仿宋" w:eastAsia="仿宋"/>
        </w:rPr>
        <w:t>2010〕62号）、《国家外汇管理局关于银行贵金属业务汇率敞口外汇管理有关问题的通知》（汇发〔2012〕8号）和《国家外汇管理局关于完善远期结售汇业务有关外汇管理问题的通知》（汇发〔2018〕3号）同时废止。此前规定与本通知不一致的，以本通知为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国家外汇管理局各分局、外汇管理部接到本通知后，应立即转发辖内中心支局、支局以及辖内有关金融机构。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特此通知。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附件：银行合作办理人民币对外汇衍生品业务细则</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国家外汇管理局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2022年5月12日</w:t>
      </w:r>
    </w:p>
    <w:p>
      <w:pPr>
        <w:pStyle w:val="404"/>
        <w:shd w:val="clear" w:color="auto" w:fill="auto"/>
        <w:adjustRightInd w:val="0"/>
        <w:snapToGrid w:val="0"/>
        <w:spacing w:line="312" w:lineRule="auto"/>
        <w:ind w:firstLine="0"/>
        <w:jc w:val="both"/>
        <w:rPr>
          <w:rFonts w:hint="eastAsia" w:ascii="仿宋" w:hAnsi="仿宋" w:eastAsia="仿宋"/>
          <w:b/>
          <w:bCs/>
          <w:sz w:val="21"/>
        </w:rPr>
      </w:pPr>
      <w:r>
        <w:rPr>
          <w:rFonts w:hint="eastAsia" w:ascii="仿宋" w:hAnsi="仿宋" w:eastAsia="仿宋"/>
          <w:b/>
          <w:bCs/>
          <w:sz w:val="21"/>
        </w:rPr>
        <w:t>附件</w:t>
      </w:r>
    </w:p>
    <w:p>
      <w:pPr>
        <w:pStyle w:val="404"/>
        <w:shd w:val="clear" w:color="auto" w:fill="auto"/>
        <w:adjustRightInd w:val="0"/>
        <w:snapToGrid w:val="0"/>
        <w:spacing w:line="312" w:lineRule="auto"/>
        <w:ind w:firstLine="422" w:firstLineChars="200"/>
        <w:jc w:val="center"/>
        <w:rPr>
          <w:rFonts w:hint="eastAsia" w:ascii="仿宋" w:hAnsi="仿宋" w:eastAsia="仿宋"/>
          <w:b/>
          <w:bCs/>
          <w:sz w:val="21"/>
        </w:rPr>
      </w:pPr>
      <w:r>
        <w:rPr>
          <w:rFonts w:hint="eastAsia" w:ascii="仿宋" w:hAnsi="仿宋" w:eastAsia="仿宋"/>
          <w:b/>
          <w:bCs/>
          <w:sz w:val="21"/>
        </w:rPr>
        <w:t>银行合作办理人民币对外汇衍生品业务细则</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一、合作银行总行申请时应具备以下条件：</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（一）具备即期结售汇业务资格，并已开办</w:t>
      </w:r>
      <w:r>
        <w:rPr>
          <w:rFonts w:ascii="仿宋" w:hAnsi="仿宋" w:eastAsia="仿宋" w:cs="Times New Roman"/>
          <w:color w:val="000000"/>
          <w:sz w:val="21"/>
          <w:szCs w:val="34"/>
        </w:rPr>
        <w:t>2</w:t>
      </w:r>
      <w:r>
        <w:rPr>
          <w:rFonts w:ascii="仿宋" w:hAnsi="仿宋" w:eastAsia="仿宋"/>
          <w:color w:val="000000"/>
          <w:sz w:val="21"/>
        </w:rPr>
        <w:t>年（含）以上。</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（二）上年度外汇资产季平均余额在等值</w:t>
      </w:r>
      <w:r>
        <w:rPr>
          <w:rFonts w:ascii="仿宋" w:hAnsi="仿宋" w:eastAsia="仿宋" w:cs="Times New Roman"/>
          <w:color w:val="000000"/>
          <w:sz w:val="21"/>
          <w:szCs w:val="34"/>
        </w:rPr>
        <w:t>2000</w:t>
      </w:r>
      <w:r>
        <w:rPr>
          <w:rFonts w:ascii="仿宋" w:hAnsi="仿宋" w:eastAsia="仿宋"/>
          <w:color w:val="000000"/>
          <w:sz w:val="21"/>
        </w:rPr>
        <w:t>万美元（含）以上。</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（三）近</w:t>
      </w:r>
      <w:r>
        <w:rPr>
          <w:rFonts w:ascii="仿宋" w:hAnsi="仿宋" w:eastAsia="仿宋" w:cs="Times New Roman"/>
          <w:color w:val="000000"/>
          <w:sz w:val="21"/>
          <w:szCs w:val="34"/>
        </w:rPr>
        <w:t>2</w:t>
      </w:r>
      <w:r>
        <w:rPr>
          <w:rFonts w:ascii="仿宋" w:hAnsi="仿宋" w:eastAsia="仿宋"/>
          <w:color w:val="000000"/>
          <w:sz w:val="21"/>
        </w:rPr>
        <w:t>年银行外汇业务合规与审慎经营评估等级为</w:t>
      </w:r>
      <w:r>
        <w:rPr>
          <w:rFonts w:ascii="仿宋" w:hAnsi="仿宋" w:eastAsia="仿宋" w:cs="Times New Roman"/>
          <w:color w:val="000000"/>
          <w:sz w:val="21"/>
          <w:szCs w:val="34"/>
          <w:lang w:val="en-US" w:bidi="en-US"/>
        </w:rPr>
        <w:t>B</w:t>
      </w:r>
      <w:r>
        <w:rPr>
          <w:rFonts w:ascii="仿宋" w:hAnsi="仿宋" w:eastAsia="仿宋"/>
          <w:color w:val="000000"/>
          <w:sz w:val="21"/>
        </w:rPr>
        <w:t>级（含）以上。</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（四）具有完善的合作办理外汇衍生品业务管理制度。</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（五）申请合作掉期业务，应取得合作远期结售汇业务资格</w:t>
      </w:r>
      <w:r>
        <w:rPr>
          <w:rFonts w:ascii="仿宋" w:hAnsi="仿宋" w:eastAsia="仿宋" w:cs="Times New Roman"/>
          <w:color w:val="000000"/>
          <w:sz w:val="21"/>
          <w:szCs w:val="34"/>
        </w:rPr>
        <w:t>2</w:t>
      </w:r>
      <w:r>
        <w:rPr>
          <w:rFonts w:ascii="仿宋" w:hAnsi="仿宋" w:eastAsia="仿宋"/>
          <w:color w:val="000000"/>
          <w:sz w:val="21"/>
        </w:rPr>
        <w:t>年以上，且合作远期结售汇业务规模在最近</w:t>
      </w:r>
      <w:r>
        <w:rPr>
          <w:rFonts w:ascii="仿宋" w:hAnsi="仿宋" w:eastAsia="仿宋" w:cs="Times New Roman"/>
          <w:color w:val="000000"/>
          <w:sz w:val="21"/>
          <w:szCs w:val="34"/>
        </w:rPr>
        <w:t>2</w:t>
      </w:r>
      <w:r>
        <w:rPr>
          <w:rFonts w:ascii="仿宋" w:hAnsi="仿宋" w:eastAsia="仿宋"/>
          <w:color w:val="000000"/>
          <w:sz w:val="21"/>
        </w:rPr>
        <w:t>年均达到即期结售汇业务规模的</w:t>
      </w:r>
      <w:r>
        <w:rPr>
          <w:rFonts w:ascii="仿宋" w:hAnsi="仿宋" w:eastAsia="仿宋" w:cs="Times New Roman"/>
          <w:color w:val="000000"/>
          <w:sz w:val="21"/>
          <w:szCs w:val="34"/>
        </w:rPr>
        <w:t>5%</w:t>
      </w:r>
      <w:r>
        <w:rPr>
          <w:rFonts w:ascii="仿宋" w:hAnsi="仿宋" w:eastAsia="仿宋"/>
          <w:color w:val="000000"/>
          <w:sz w:val="21"/>
        </w:rPr>
        <w:t>。</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二、合作银行总行应持下列材料向所在地国家外汇管理局分局、外汇管理部（以下简称外汇分局）提出申请：</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（一）申请报告，简要说明满足各项申请条件情况，并包括企业客户培育情况、业务计划等。</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（二）合作办理外汇衍生品业务相关管理制度，包括：业务操作规程、风险管理制度、统计报告制度、会计核算制度等。</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（三）与具备资格银行签订的合作协议书范本，范本中应明确双方权利和义务。</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（四）总行上年度外汇资产季度余额情况。所在地外汇分局自受理申请之日起</w:t>
      </w:r>
      <w:r>
        <w:rPr>
          <w:rFonts w:ascii="仿宋" w:hAnsi="仿宋" w:eastAsia="仿宋" w:cs="Times New Roman"/>
          <w:color w:val="000000"/>
          <w:sz w:val="21"/>
          <w:szCs w:val="34"/>
        </w:rPr>
        <w:t>20</w:t>
      </w:r>
      <w:r>
        <w:rPr>
          <w:rFonts w:ascii="仿宋" w:hAnsi="仿宋" w:eastAsia="仿宋"/>
          <w:color w:val="000000"/>
          <w:sz w:val="21"/>
        </w:rPr>
        <w:t>日内对符合条件的银行出具《国家外汇管理局—分局（外汇管理部）银行合作办理人民币对外汇衍生品业务准予许可通知书》（见附表</w:t>
      </w:r>
      <w:r>
        <w:rPr>
          <w:rFonts w:ascii="仿宋" w:hAnsi="仿宋" w:eastAsia="仿宋" w:cs="Times New Roman"/>
          <w:color w:val="000000"/>
          <w:sz w:val="21"/>
          <w:szCs w:val="34"/>
        </w:rPr>
        <w:t>1</w:t>
      </w:r>
      <w:r>
        <w:rPr>
          <w:rFonts w:ascii="仿宋" w:hAnsi="仿宋" w:eastAsia="仿宋"/>
          <w:color w:val="000000"/>
          <w:sz w:val="21"/>
        </w:rPr>
        <w:t>）。</w:t>
      </w:r>
    </w:p>
    <w:p>
      <w:pPr>
        <w:pStyle w:val="404"/>
        <w:shd w:val="clear" w:color="auto" w:fill="auto"/>
        <w:tabs>
          <w:tab w:val="left" w:pos="1568"/>
        </w:tabs>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三、合作银行分支机构开展业务的，应当具备以下条件：</w:t>
      </w:r>
    </w:p>
    <w:p>
      <w:pPr>
        <w:pStyle w:val="404"/>
        <w:shd w:val="clear" w:color="auto" w:fill="auto"/>
        <w:tabs>
          <w:tab w:val="left" w:pos="1741"/>
        </w:tabs>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（一）合作银行总行已获准合作办理相关外汇衍生品业务资格。</w:t>
      </w:r>
    </w:p>
    <w:p>
      <w:pPr>
        <w:pStyle w:val="404"/>
        <w:shd w:val="clear" w:color="auto" w:fill="auto"/>
        <w:tabs>
          <w:tab w:val="left" w:pos="1771"/>
        </w:tabs>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（二）参照合作银行总行申请条件的（一）、（三）、（四）。</w:t>
      </w:r>
    </w:p>
    <w:p>
      <w:pPr>
        <w:pStyle w:val="404"/>
        <w:shd w:val="clear" w:color="auto" w:fill="auto"/>
        <w:tabs>
          <w:tab w:val="left" w:pos="1568"/>
        </w:tabs>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四、合作银行分支机构在取得上级有权机构的授权后，持授权文件和本级机构业务筹办说明（包括相关管理制度、与具备资格银行签订的合作协议书范本等），提前</w:t>
      </w:r>
      <w:r>
        <w:rPr>
          <w:rFonts w:ascii="仿宋" w:hAnsi="仿宋" w:eastAsia="仿宋" w:cs="Times New Roman"/>
          <w:color w:val="000000"/>
          <w:sz w:val="21"/>
          <w:szCs w:val="34"/>
        </w:rPr>
        <w:t>20</w:t>
      </w:r>
      <w:r>
        <w:rPr>
          <w:rFonts w:ascii="仿宋" w:hAnsi="仿宋" w:eastAsia="仿宋"/>
          <w:color w:val="000000"/>
          <w:sz w:val="21"/>
        </w:rPr>
        <w:t>日向所在地外汇局书面报告并确认收到后即可开办业务。</w:t>
      </w:r>
    </w:p>
    <w:p>
      <w:pPr>
        <w:pStyle w:val="404"/>
        <w:shd w:val="clear" w:color="auto" w:fill="auto"/>
        <w:tabs>
          <w:tab w:val="left" w:pos="1568"/>
        </w:tabs>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五、合作银行与具备资格银行应按照下列规定开展合作外汇衍生品业务：</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（一）合作银行、具备资格银行和客户需签订三方</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外汇衍生品业务合作协议。</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二）合作银行应按照实需原则和风险中性原则开展外汇衍生品业务，负责对客户办理外汇衍生品的合规性进行审核，对外汇衍生品业务设置会计科目进行单独核算，并逐笔同具备资格银行平盘，合作银行不得因此而持有外汇敞口或开展自营交易。</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三）具备资格银行应将合作办理外汇衍生品业务视为代客结售汇业务，纳入本行结售汇综合头寸统计和管理，并按银行结售汇统计等要求向外汇局报送统计报表。合作银行应配合具备资格银行履行有关统计业务。</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（四）合作银行总行新增、变更、终止合作对象，应提前</w:t>
      </w:r>
      <w:r>
        <w:rPr>
          <w:rFonts w:ascii="仿宋" w:hAnsi="仿宋" w:eastAsia="仿宋" w:cs="Times New Roman"/>
          <w:color w:val="000000"/>
          <w:sz w:val="21"/>
          <w:szCs w:val="34"/>
        </w:rPr>
        <w:t>20</w:t>
      </w:r>
      <w:r>
        <w:rPr>
          <w:rFonts w:ascii="仿宋" w:hAnsi="仿宋" w:eastAsia="仿宋"/>
          <w:color w:val="000000"/>
          <w:sz w:val="21"/>
        </w:rPr>
        <w:t>日书面告知所在地外汇分局，分支机构告知所在地外汇局。原则上合作办理外汇衍生品业务不允许跨省经营。</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（五）合作银行应于每月初</w:t>
      </w:r>
      <w:r>
        <w:rPr>
          <w:rFonts w:ascii="仿宋" w:hAnsi="仿宋" w:eastAsia="仿宋" w:cs="Times New Roman"/>
          <w:color w:val="000000"/>
          <w:sz w:val="21"/>
          <w:szCs w:val="34"/>
        </w:rPr>
        <w:t>5</w:t>
      </w:r>
      <w:r>
        <w:rPr>
          <w:rFonts w:ascii="仿宋" w:hAnsi="仿宋" w:eastAsia="仿宋"/>
          <w:color w:val="000000"/>
          <w:sz w:val="21"/>
        </w:rPr>
        <w:t>个工作日内向所在地外汇局报送《合作办理外汇衍生品业务统计表》（见附表</w:t>
      </w:r>
      <w:r>
        <w:rPr>
          <w:rFonts w:ascii="仿宋" w:hAnsi="仿宋" w:eastAsia="仿宋" w:cs="Times New Roman"/>
          <w:color w:val="000000"/>
          <w:sz w:val="21"/>
          <w:szCs w:val="34"/>
        </w:rPr>
        <w:t>2</w:t>
      </w:r>
      <w:r>
        <w:rPr>
          <w:rFonts w:ascii="仿宋" w:hAnsi="仿宋" w:eastAsia="仿宋"/>
          <w:color w:val="000000"/>
          <w:sz w:val="21"/>
        </w:rPr>
        <w:t>）；外汇分局应于每年年初</w:t>
      </w:r>
      <w:r>
        <w:rPr>
          <w:rFonts w:ascii="仿宋" w:hAnsi="仿宋" w:eastAsia="仿宋" w:cs="Times New Roman"/>
          <w:color w:val="000000"/>
          <w:sz w:val="21"/>
          <w:szCs w:val="34"/>
        </w:rPr>
        <w:t>10</w:t>
      </w:r>
      <w:r>
        <w:rPr>
          <w:rFonts w:ascii="仿宋" w:hAnsi="仿宋" w:eastAsia="仿宋"/>
          <w:color w:val="000000"/>
          <w:sz w:val="21"/>
        </w:rPr>
        <w:t>个工作日内填报截至上年末《辖内机构合作办理外汇衍生品业务情况一览表》（见附表</w:t>
      </w:r>
      <w:r>
        <w:rPr>
          <w:rFonts w:ascii="仿宋" w:hAnsi="仿宋" w:eastAsia="仿宋" w:cs="Times New Roman"/>
          <w:color w:val="000000"/>
          <w:sz w:val="21"/>
          <w:szCs w:val="34"/>
        </w:rPr>
        <w:t>3</w:t>
      </w:r>
      <w:r>
        <w:rPr>
          <w:rFonts w:ascii="仿宋" w:hAnsi="仿宋" w:eastAsia="仿宋"/>
          <w:color w:val="000000"/>
          <w:sz w:val="21"/>
        </w:rPr>
        <w:t>）。</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六、合作办理外汇衍生品业务由所在地外汇局分别纳入对具备资格银行和合作银行的年度评估。</w:t>
      </w:r>
    </w:p>
    <w:p>
      <w:pPr>
        <w:pStyle w:val="404"/>
        <w:shd w:val="clear" w:color="auto" w:fill="auto"/>
        <w:adjustRightInd w:val="0"/>
        <w:snapToGrid w:val="0"/>
        <w:spacing w:line="312" w:lineRule="auto"/>
        <w:ind w:firstLine="420" w:firstLineChars="200"/>
        <w:jc w:val="both"/>
        <w:rPr>
          <w:rFonts w:hint="eastAsia" w:ascii="仿宋" w:hAnsi="仿宋" w:eastAsia="仿宋"/>
          <w:sz w:val="21"/>
        </w:rPr>
      </w:pPr>
      <w:r>
        <w:rPr>
          <w:rFonts w:ascii="仿宋" w:hAnsi="仿宋" w:eastAsia="仿宋"/>
          <w:color w:val="000000"/>
          <w:sz w:val="21"/>
        </w:rPr>
        <w:t>（一）合作银行在经营结售汇业务中如发生年度评估结果为</w:t>
      </w:r>
      <w:r>
        <w:rPr>
          <w:rFonts w:ascii="仿宋" w:hAnsi="仿宋" w:eastAsia="仿宋" w:cs="Times New Roman"/>
          <w:color w:val="000000"/>
          <w:sz w:val="21"/>
          <w:szCs w:val="34"/>
          <w:lang w:val="en-US" w:bidi="en-US"/>
        </w:rPr>
        <w:t>B-</w:t>
      </w:r>
      <w:r>
        <w:rPr>
          <w:rFonts w:ascii="仿宋" w:hAnsi="仿宋" w:eastAsia="仿宋"/>
          <w:color w:val="000000"/>
          <w:sz w:val="21"/>
        </w:rPr>
        <w:t>级（含）以下的，应自行暂停其合作办理外汇衍生品业务资格，原有业务可持续到期。下一年度评估结果为</w:t>
      </w:r>
      <w:r>
        <w:rPr>
          <w:rFonts w:ascii="仿宋" w:hAnsi="仿宋" w:eastAsia="仿宋" w:cs="Times New Roman"/>
          <w:color w:val="000000"/>
          <w:sz w:val="21"/>
          <w:szCs w:val="34"/>
          <w:lang w:val="en-US" w:bidi="en-US"/>
        </w:rPr>
        <w:t>B</w:t>
      </w:r>
      <w:r>
        <w:rPr>
          <w:rFonts w:ascii="仿宋" w:hAnsi="仿宋" w:eastAsia="仿宋"/>
          <w:color w:val="000000"/>
          <w:sz w:val="21"/>
        </w:rPr>
        <w:t>级（含）以上的，自动恢复其合作办理外汇衍生品业务资格。</w:t>
      </w:r>
    </w:p>
    <w:p>
      <w:pPr>
        <w:pStyle w:val="404"/>
        <w:shd w:val="clear" w:color="auto" w:fill="auto"/>
        <w:adjustRightInd w:val="0"/>
        <w:snapToGrid w:val="0"/>
        <w:spacing w:line="312" w:lineRule="auto"/>
        <w:ind w:firstLine="420" w:firstLineChars="200"/>
        <w:jc w:val="both"/>
        <w:rPr>
          <w:rFonts w:hint="eastAsia" w:ascii="仿宋" w:hAnsi="仿宋" w:eastAsia="仿宋"/>
          <w:sz w:val="21"/>
          <w:szCs w:val="36"/>
        </w:rPr>
      </w:pPr>
      <w:r>
        <w:rPr>
          <w:rFonts w:ascii="仿宋" w:hAnsi="仿宋" w:eastAsia="仿宋"/>
          <w:color w:val="000000"/>
          <w:sz w:val="21"/>
        </w:rPr>
        <w:t>（二）具备资格银行不具备做市商和相应产品尝试做市机构资格的，应主动与合作银行终止合作办理相应的外汇衍生品业务</w:t>
      </w:r>
      <w:r>
        <w:rPr>
          <w:rFonts w:ascii="仿宋" w:hAnsi="仿宋" w:eastAsia="仿宋" w:cs="宋体"/>
          <w:color w:val="000000"/>
          <w:sz w:val="21"/>
          <w:szCs w:val="36"/>
        </w:rPr>
        <w:t>。</w:t>
      </w:r>
      <w:r>
        <w:rPr>
          <w:rFonts w:ascii="仿宋" w:hAnsi="仿宋" w:eastAsia="仿宋"/>
          <w:sz w:val="21"/>
        </w:rPr>
        <w:br w:type="page"/>
      </w:r>
    </w:p>
    <w:p>
      <w:pPr>
        <w:pStyle w:val="404"/>
        <w:shd w:val="clear" w:color="auto" w:fill="auto"/>
        <w:adjustRightInd w:val="0"/>
        <w:snapToGrid w:val="0"/>
        <w:spacing w:line="312" w:lineRule="auto"/>
        <w:ind w:firstLine="420" w:firstLineChars="200"/>
        <w:jc w:val="both"/>
        <w:rPr>
          <w:rFonts w:hint="eastAsia" w:ascii="仿宋" w:hAnsi="仿宋" w:eastAsia="仿宋"/>
          <w:sz w:val="21"/>
          <w:szCs w:val="34"/>
        </w:rPr>
      </w:pPr>
      <w:r>
        <w:rPr>
          <w:rFonts w:ascii="仿宋" w:hAnsi="仿宋" w:eastAsia="仿宋"/>
          <w:color w:val="000000"/>
          <w:sz w:val="21"/>
        </w:rPr>
        <w:t>附表</w:t>
      </w:r>
      <w:r>
        <w:rPr>
          <w:rFonts w:ascii="仿宋" w:hAnsi="仿宋" w:eastAsia="仿宋" w:cs="Times New Roman"/>
          <w:color w:val="000000"/>
          <w:sz w:val="21"/>
          <w:szCs w:val="34"/>
        </w:rPr>
        <w:t>1</w:t>
      </w:r>
    </w:p>
    <w:p>
      <w:pPr>
        <w:pStyle w:val="404"/>
        <w:shd w:val="clear" w:color="auto" w:fill="auto"/>
        <w:adjustRightInd w:val="0"/>
        <w:snapToGrid w:val="0"/>
        <w:spacing w:line="312" w:lineRule="auto"/>
        <w:ind w:firstLine="420" w:firstLineChars="200"/>
        <w:jc w:val="both"/>
        <w:rPr>
          <w:rFonts w:hint="eastAsia" w:ascii="仿宋" w:hAnsi="仿宋" w:eastAsia="仿宋"/>
          <w:sz w:val="21"/>
          <w:szCs w:val="32"/>
        </w:rPr>
      </w:pPr>
      <w:r>
        <w:rPr>
          <w:rFonts w:ascii="仿宋" w:hAnsi="仿宋" w:eastAsia="仿宋"/>
          <w:color w:val="000000"/>
          <w:sz w:val="21"/>
          <w:szCs w:val="32"/>
        </w:rPr>
        <w:t>国家外汇管理局—分局（外汇管理部）</w:t>
      </w:r>
    </w:p>
    <w:p>
      <w:pPr>
        <w:pStyle w:val="404"/>
        <w:shd w:val="clear" w:color="auto" w:fill="auto"/>
        <w:adjustRightInd w:val="0"/>
        <w:snapToGrid w:val="0"/>
        <w:spacing w:line="312" w:lineRule="auto"/>
        <w:ind w:firstLine="420" w:firstLineChars="200"/>
        <w:jc w:val="both"/>
        <w:rPr>
          <w:rFonts w:hint="eastAsia" w:ascii="仿宋" w:hAnsi="仿宋" w:eastAsia="仿宋"/>
          <w:sz w:val="21"/>
          <w:szCs w:val="32"/>
        </w:rPr>
      </w:pPr>
      <w:r>
        <w:rPr>
          <w:rFonts w:ascii="仿宋" w:hAnsi="仿宋" w:eastAsia="仿宋"/>
          <w:color w:val="000000"/>
          <w:sz w:val="21"/>
          <w:szCs w:val="32"/>
        </w:rPr>
        <w:t>银行合作办理人民币对外汇衍生品业务准予许可通知书</w:t>
      </w:r>
    </w:p>
    <w:p>
      <w:pPr>
        <w:pStyle w:val="414"/>
        <w:shd w:val="clear" w:color="auto" w:fill="auto"/>
        <w:adjustRightInd w:val="0"/>
        <w:snapToGrid w:val="0"/>
        <w:spacing w:after="0" w:line="312" w:lineRule="auto"/>
        <w:ind w:firstLine="422" w:firstLineChars="200"/>
        <w:jc w:val="both"/>
        <w:rPr>
          <w:rFonts w:hint="eastAsia" w:ascii="仿宋" w:hAnsi="仿宋" w:eastAsia="仿宋"/>
          <w:sz w:val="21"/>
        </w:rPr>
      </w:pPr>
      <w:r>
        <w:rPr>
          <w:rFonts w:ascii="仿宋" w:hAnsi="仿宋" w:eastAsia="仿宋"/>
          <w:color w:val="000000"/>
          <w:sz w:val="21"/>
        </w:rPr>
        <w:t>编号：</w:t>
      </w:r>
    </w:p>
    <w:tbl>
      <w:tblPr>
        <w:tblStyle w:val="58"/>
        <w:tblW w:w="0" w:type="auto"/>
        <w:jc w:val="center"/>
        <w:tblLayout w:type="fixed"/>
        <w:tblCellMar>
          <w:top w:w="0" w:type="dxa"/>
          <w:left w:w="10" w:type="dxa"/>
          <w:bottom w:w="0" w:type="dxa"/>
          <w:right w:w="10" w:type="dxa"/>
        </w:tblCellMar>
      </w:tblPr>
      <w:tblGrid>
        <w:gridCol w:w="2362"/>
        <w:gridCol w:w="6125"/>
      </w:tblGrid>
      <w:tr>
        <w:tblPrEx>
          <w:tblCellMar>
            <w:top w:w="0" w:type="dxa"/>
            <w:left w:w="10" w:type="dxa"/>
            <w:bottom w:w="0" w:type="dxa"/>
            <w:right w:w="10" w:type="dxa"/>
          </w:tblCellMar>
        </w:tblPrEx>
        <w:trPr>
          <w:trHeight w:val="974" w:hRule="exact"/>
          <w:jc w:val="center"/>
        </w:trPr>
        <w:tc>
          <w:tcPr>
            <w:tcW w:w="2362"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rPr>
            </w:pPr>
            <w:r>
              <w:rPr>
                <w:rFonts w:hint="eastAsia" w:ascii="仿宋" w:hAnsi="仿宋" w:eastAsia="仿宋" w:cs="宋体"/>
                <w:color w:val="000000"/>
                <w:sz w:val="21"/>
              </w:rPr>
              <w:t>申请机构</w:t>
            </w:r>
          </w:p>
        </w:tc>
        <w:tc>
          <w:tcPr>
            <w:tcW w:w="6125"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2430" w:hRule="exact"/>
          <w:jc w:val="center"/>
        </w:trPr>
        <w:tc>
          <w:tcPr>
            <w:tcW w:w="2362"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rPr>
            </w:pPr>
            <w:r>
              <w:rPr>
                <w:rFonts w:hint="eastAsia" w:ascii="仿宋" w:hAnsi="仿宋" w:eastAsia="仿宋" w:cs="宋体"/>
                <w:color w:val="000000"/>
                <w:sz w:val="21"/>
              </w:rPr>
              <w:t>审核意见</w:t>
            </w:r>
          </w:p>
        </w:tc>
        <w:tc>
          <w:tcPr>
            <w:tcW w:w="6125" w:type="dxa"/>
            <w:tcBorders>
              <w:top w:val="single" w:color="auto" w:sz="4" w:space="0"/>
              <w:left w:val="single" w:color="auto" w:sz="4" w:space="0"/>
              <w:righ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rPr>
            </w:pPr>
            <w:r>
              <w:rPr>
                <w:rFonts w:hint="eastAsia" w:ascii="仿宋" w:hAnsi="仿宋" w:eastAsia="仿宋" w:cs="宋体"/>
                <w:color w:val="000000"/>
                <w:sz w:val="21"/>
              </w:rPr>
              <w:t>准予许可，自准予许可通知书下达之日起可以合作办理人民币对外汇衍生品业务。</w:t>
            </w:r>
          </w:p>
          <w:p>
            <w:pPr>
              <w:pStyle w:val="394"/>
              <w:shd w:val="clear" w:color="auto" w:fill="auto"/>
              <w:adjustRightInd w:val="0"/>
              <w:snapToGrid w:val="0"/>
              <w:spacing w:after="160" w:line="312" w:lineRule="auto"/>
              <w:ind w:firstLine="420" w:firstLineChars="200"/>
              <w:jc w:val="both"/>
              <w:rPr>
                <w:rFonts w:hint="eastAsia" w:ascii="仿宋" w:hAnsi="仿宋" w:eastAsia="仿宋"/>
                <w:sz w:val="21"/>
              </w:rPr>
            </w:pPr>
            <w:r>
              <w:rPr>
                <w:rFonts w:hint="eastAsia" w:ascii="仿宋" w:hAnsi="仿宋" w:eastAsia="仿宋" w:cs="宋体"/>
                <w:color w:val="000000"/>
                <w:sz w:val="21"/>
              </w:rPr>
              <w:t>你行合作办理远期/掉期业务，应遵照《银行合作办理人民币对外汇衍生品业务细则》（汇发〔2022〕15号）等有关规定执行。</w:t>
            </w:r>
          </w:p>
        </w:tc>
      </w:tr>
      <w:tr>
        <w:tblPrEx>
          <w:tblCellMar>
            <w:top w:w="0" w:type="dxa"/>
            <w:left w:w="10" w:type="dxa"/>
            <w:bottom w:w="0" w:type="dxa"/>
            <w:right w:w="10" w:type="dxa"/>
          </w:tblCellMar>
        </w:tblPrEx>
        <w:trPr>
          <w:trHeight w:val="3442" w:hRule="exact"/>
          <w:jc w:val="center"/>
        </w:trPr>
        <w:tc>
          <w:tcPr>
            <w:tcW w:w="8487" w:type="dxa"/>
            <w:gridSpan w:val="2"/>
            <w:tcBorders>
              <w:top w:val="single" w:color="auto" w:sz="4" w:space="0"/>
              <w:left w:val="single" w:color="auto" w:sz="4" w:space="0"/>
              <w:righ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right"/>
              <w:rPr>
                <w:rFonts w:hint="eastAsia" w:ascii="仿宋" w:hAnsi="仿宋" w:eastAsia="仿宋"/>
                <w:sz w:val="21"/>
              </w:rPr>
            </w:pPr>
            <w:r>
              <w:rPr>
                <w:rFonts w:hint="eastAsia" w:ascii="仿宋" w:hAnsi="仿宋" w:eastAsia="仿宋" w:cs="宋体"/>
                <w:color w:val="000000"/>
                <w:sz w:val="21"/>
              </w:rPr>
              <w:t>国家外汇管理局</w:t>
            </w:r>
            <w:r>
              <w:rPr>
                <w:rFonts w:hint="eastAsia" w:ascii="仿宋" w:hAnsi="仿宋" w:eastAsia="仿宋" w:cs="宋体"/>
                <w:sz w:val="21"/>
              </w:rPr>
              <w:t xml:space="preserve">    </w:t>
            </w:r>
            <w:r>
              <w:rPr>
                <w:rFonts w:hint="eastAsia" w:ascii="仿宋" w:hAnsi="仿宋" w:eastAsia="仿宋" w:cs="宋体"/>
                <w:color w:val="000000"/>
                <w:sz w:val="21"/>
              </w:rPr>
              <w:t>分局（外汇管理部）</w:t>
            </w:r>
          </w:p>
          <w:p>
            <w:pPr>
              <w:pStyle w:val="394"/>
              <w:shd w:val="clear" w:color="auto" w:fill="auto"/>
              <w:adjustRightInd w:val="0"/>
              <w:snapToGrid w:val="0"/>
              <w:spacing w:after="160" w:line="312" w:lineRule="auto"/>
              <w:ind w:left="3680" w:firstLine="420" w:firstLineChars="200"/>
              <w:jc w:val="both"/>
              <w:rPr>
                <w:rFonts w:hint="eastAsia" w:ascii="仿宋" w:hAnsi="仿宋" w:eastAsia="仿宋" w:cs="宋体"/>
                <w:sz w:val="21"/>
              </w:rPr>
            </w:pPr>
          </w:p>
          <w:p>
            <w:pPr>
              <w:pStyle w:val="394"/>
              <w:shd w:val="clear" w:color="auto" w:fill="auto"/>
              <w:adjustRightInd w:val="0"/>
              <w:snapToGrid w:val="0"/>
              <w:spacing w:after="160" w:line="312" w:lineRule="auto"/>
              <w:ind w:left="3680" w:firstLine="1260" w:firstLineChars="600"/>
              <w:jc w:val="both"/>
              <w:rPr>
                <w:rFonts w:hint="eastAsia" w:ascii="仿宋" w:hAnsi="仿宋" w:eastAsia="仿宋"/>
                <w:sz w:val="21"/>
              </w:rPr>
            </w:pPr>
            <w:r>
              <w:rPr>
                <w:rFonts w:hint="eastAsia" w:ascii="仿宋" w:hAnsi="仿宋" w:eastAsia="仿宋" w:cs="宋体"/>
                <w:color w:val="000000"/>
                <w:sz w:val="21"/>
              </w:rPr>
              <w:t>（银行结售汇业务管理专用章）</w:t>
            </w:r>
          </w:p>
          <w:p>
            <w:pPr>
              <w:pStyle w:val="394"/>
              <w:shd w:val="clear" w:color="auto" w:fill="auto"/>
              <w:adjustRightInd w:val="0"/>
              <w:snapToGrid w:val="0"/>
              <w:spacing w:after="160" w:line="312" w:lineRule="auto"/>
              <w:ind w:firstLine="420" w:firstLineChars="200"/>
              <w:jc w:val="both"/>
              <w:rPr>
                <w:rFonts w:hint="eastAsia" w:ascii="仿宋" w:hAnsi="仿宋" w:eastAsia="仿宋" w:cs="宋体"/>
                <w:sz w:val="21"/>
              </w:rPr>
            </w:pPr>
          </w:p>
          <w:p>
            <w:pPr>
              <w:pStyle w:val="394"/>
              <w:shd w:val="clear" w:color="auto" w:fill="auto"/>
              <w:adjustRightInd w:val="0"/>
              <w:snapToGrid w:val="0"/>
              <w:spacing w:after="160" w:line="312" w:lineRule="auto"/>
              <w:ind w:firstLine="420" w:firstLineChars="200"/>
              <w:jc w:val="both"/>
              <w:rPr>
                <w:rFonts w:hint="eastAsia" w:ascii="仿宋" w:hAnsi="仿宋" w:eastAsia="仿宋" w:cs="宋体"/>
                <w:sz w:val="21"/>
              </w:rPr>
            </w:pPr>
          </w:p>
          <w:p>
            <w:pPr>
              <w:pStyle w:val="394"/>
              <w:shd w:val="clear" w:color="auto" w:fill="auto"/>
              <w:adjustRightInd w:val="0"/>
              <w:snapToGrid w:val="0"/>
              <w:spacing w:after="160" w:line="312" w:lineRule="auto"/>
              <w:ind w:firstLine="420" w:firstLineChars="200"/>
              <w:jc w:val="right"/>
              <w:rPr>
                <w:rFonts w:hint="eastAsia" w:ascii="仿宋" w:hAnsi="仿宋" w:eastAsia="仿宋"/>
                <w:sz w:val="21"/>
              </w:rPr>
            </w:pPr>
            <w:r>
              <w:rPr>
                <w:rFonts w:hint="eastAsia" w:ascii="仿宋" w:hAnsi="仿宋" w:eastAsia="仿宋" w:cs="宋体"/>
                <w:color w:val="000000"/>
                <w:sz w:val="21"/>
              </w:rPr>
              <w:t>年</w:t>
            </w:r>
            <w:r>
              <w:rPr>
                <w:rFonts w:hint="eastAsia" w:ascii="仿宋" w:hAnsi="仿宋" w:eastAsia="仿宋" w:cs="宋体"/>
                <w:sz w:val="21"/>
              </w:rPr>
              <w:t xml:space="preserve">   </w:t>
            </w:r>
            <w:r>
              <w:rPr>
                <w:rFonts w:hint="eastAsia" w:ascii="仿宋" w:hAnsi="仿宋" w:eastAsia="仿宋" w:cs="宋体"/>
                <w:color w:val="000000"/>
                <w:sz w:val="21"/>
              </w:rPr>
              <w:t>月</w:t>
            </w:r>
            <w:r>
              <w:rPr>
                <w:rFonts w:hint="eastAsia" w:ascii="仿宋" w:hAnsi="仿宋" w:eastAsia="仿宋" w:cs="宋体"/>
                <w:sz w:val="21"/>
              </w:rPr>
              <w:t xml:space="preserve">   </w:t>
            </w:r>
            <w:r>
              <w:rPr>
                <w:rFonts w:hint="eastAsia" w:ascii="仿宋" w:hAnsi="仿宋" w:eastAsia="仿宋" w:cs="宋体"/>
                <w:color w:val="000000"/>
                <w:sz w:val="21"/>
              </w:rPr>
              <w:t>日</w:t>
            </w:r>
            <w:r>
              <w:rPr>
                <w:rFonts w:hint="eastAsia" w:ascii="仿宋" w:hAnsi="仿宋" w:eastAsia="仿宋" w:cs="宋体"/>
                <w:sz w:val="21"/>
              </w:rPr>
              <w:t xml:space="preserve">      </w:t>
            </w:r>
          </w:p>
        </w:tc>
      </w:tr>
      <w:tr>
        <w:tblPrEx>
          <w:tblCellMar>
            <w:top w:w="0" w:type="dxa"/>
            <w:left w:w="10" w:type="dxa"/>
            <w:bottom w:w="0" w:type="dxa"/>
            <w:right w:w="10" w:type="dxa"/>
          </w:tblCellMar>
        </w:tblPrEx>
        <w:trPr>
          <w:trHeight w:val="1296" w:hRule="exact"/>
          <w:jc w:val="center"/>
        </w:trPr>
        <w:tc>
          <w:tcPr>
            <w:tcW w:w="8487" w:type="dxa"/>
            <w:gridSpan w:val="2"/>
            <w:tcBorders>
              <w:top w:val="single" w:color="auto" w:sz="4" w:space="0"/>
              <w:left w:val="single" w:color="auto" w:sz="4" w:space="0"/>
              <w:right w:val="single" w:color="auto" w:sz="4" w:space="0"/>
            </w:tcBorders>
            <w:shd w:val="clear" w:color="auto" w:fill="FFFFFF"/>
            <w:vAlign w:val="center"/>
          </w:tcPr>
          <w:p>
            <w:pPr>
              <w:pStyle w:val="394"/>
              <w:shd w:val="clear" w:color="auto" w:fill="auto"/>
              <w:adjustRightInd w:val="0"/>
              <w:snapToGrid w:val="0"/>
              <w:spacing w:after="160" w:line="312" w:lineRule="auto"/>
              <w:ind w:firstLine="399" w:firstLineChars="190"/>
              <w:jc w:val="both"/>
              <w:rPr>
                <w:rFonts w:hint="eastAsia" w:ascii="仿宋" w:hAnsi="仿宋" w:eastAsia="仿宋"/>
                <w:sz w:val="21"/>
              </w:rPr>
            </w:pPr>
            <w:r>
              <w:rPr>
                <w:rFonts w:hint="eastAsia" w:ascii="仿宋" w:hAnsi="仿宋" w:eastAsia="仿宋" w:cs="宋体"/>
                <w:color w:val="000000"/>
                <w:sz w:val="21"/>
              </w:rPr>
              <w:t>部门：国际收支处</w:t>
            </w:r>
            <w:r>
              <w:rPr>
                <w:rFonts w:hint="eastAsia" w:ascii="仿宋" w:hAnsi="仿宋" w:eastAsia="仿宋" w:cs="宋体"/>
                <w:sz w:val="21"/>
              </w:rPr>
              <w:t xml:space="preserve">                                          </w:t>
            </w:r>
            <w:r>
              <w:rPr>
                <w:rFonts w:hint="eastAsia" w:ascii="仿宋" w:hAnsi="仿宋" w:eastAsia="仿宋" w:cs="宋体"/>
                <w:color w:val="000000"/>
                <w:sz w:val="21"/>
              </w:rPr>
              <w:t>电话：</w:t>
            </w:r>
          </w:p>
        </w:tc>
      </w:tr>
      <w:tr>
        <w:tblPrEx>
          <w:tblCellMar>
            <w:top w:w="0" w:type="dxa"/>
            <w:left w:w="10" w:type="dxa"/>
            <w:bottom w:w="0" w:type="dxa"/>
            <w:right w:w="10" w:type="dxa"/>
          </w:tblCellMar>
        </w:tblPrEx>
        <w:trPr>
          <w:trHeight w:val="1930" w:hRule="exact"/>
          <w:jc w:val="center"/>
        </w:trPr>
        <w:tc>
          <w:tcPr>
            <w:tcW w:w="8487" w:type="dxa"/>
            <w:gridSpan w:val="2"/>
            <w:tcBorders>
              <w:top w:val="single" w:color="auto" w:sz="4" w:space="0"/>
              <w:left w:val="single" w:color="auto" w:sz="4" w:space="0"/>
              <w:bottom w:val="single" w:color="auto" w:sz="4" w:space="0"/>
              <w:right w:val="single" w:color="auto" w:sz="4" w:space="0"/>
            </w:tcBorders>
            <w:shd w:val="clear" w:color="auto" w:fill="FFFFFF"/>
            <w:vAlign w:val="center"/>
          </w:tcPr>
          <w:p>
            <w:pPr>
              <w:pStyle w:val="394"/>
              <w:shd w:val="clear" w:color="auto" w:fill="auto"/>
              <w:adjustRightInd w:val="0"/>
              <w:snapToGrid w:val="0"/>
              <w:spacing w:after="160" w:line="312" w:lineRule="auto"/>
              <w:ind w:firstLine="0"/>
              <w:jc w:val="both"/>
              <w:rPr>
                <w:rFonts w:hint="eastAsia" w:ascii="仿宋" w:hAnsi="仿宋" w:eastAsia="仿宋" w:cs="宋体"/>
                <w:sz w:val="21"/>
              </w:rPr>
            </w:pPr>
            <w:r>
              <w:rPr>
                <w:rFonts w:hint="eastAsia" w:ascii="仿宋" w:hAnsi="仿宋" w:eastAsia="仿宋" w:cs="宋体"/>
                <w:color w:val="000000"/>
                <w:sz w:val="21"/>
              </w:rPr>
              <w:t>备注：准予许可通知书一式两份，分送申请银行和国家外汇管理分局（外汇管理部）内部留</w:t>
            </w:r>
          </w:p>
          <w:p>
            <w:pPr>
              <w:pStyle w:val="394"/>
              <w:shd w:val="clear" w:color="auto" w:fill="auto"/>
              <w:adjustRightInd w:val="0"/>
              <w:snapToGrid w:val="0"/>
              <w:spacing w:after="160" w:line="312" w:lineRule="auto"/>
              <w:ind w:firstLine="630" w:firstLineChars="300"/>
              <w:jc w:val="both"/>
              <w:rPr>
                <w:rFonts w:hint="eastAsia" w:ascii="仿宋" w:hAnsi="仿宋" w:eastAsia="仿宋"/>
                <w:sz w:val="21"/>
              </w:rPr>
            </w:pPr>
            <w:r>
              <w:rPr>
                <w:rFonts w:hint="eastAsia" w:ascii="仿宋" w:hAnsi="仿宋" w:eastAsia="仿宋" w:cs="宋体"/>
                <w:color w:val="000000"/>
                <w:sz w:val="21"/>
              </w:rPr>
              <w:t>存。</w:t>
            </w:r>
          </w:p>
        </w:tc>
      </w:tr>
    </w:tbl>
    <w:p>
      <w:pPr>
        <w:adjustRightInd w:val="0"/>
        <w:snapToGrid w:val="0"/>
        <w:spacing w:line="312" w:lineRule="auto"/>
        <w:ind w:firstLine="420" w:firstLineChars="200"/>
        <w:rPr>
          <w:rFonts w:hint="eastAsia" w:ascii="仿宋" w:hAnsi="仿宋" w:eastAsia="仿宋"/>
          <w:szCs w:val="2"/>
        </w:rPr>
      </w:pPr>
      <w:r>
        <w:rPr>
          <w:rFonts w:ascii="仿宋" w:hAnsi="仿宋" w:eastAsia="仿宋"/>
        </w:rPr>
        <w:br w:type="page"/>
      </w:r>
    </w:p>
    <w:p>
      <w:pPr>
        <w:pStyle w:val="404"/>
        <w:shd w:val="clear" w:color="auto" w:fill="auto"/>
        <w:adjustRightInd w:val="0"/>
        <w:snapToGrid w:val="0"/>
        <w:spacing w:line="312" w:lineRule="auto"/>
        <w:ind w:firstLine="420" w:firstLineChars="200"/>
        <w:jc w:val="both"/>
        <w:rPr>
          <w:rFonts w:hint="eastAsia" w:ascii="仿宋" w:hAnsi="仿宋" w:eastAsia="仿宋"/>
          <w:sz w:val="21"/>
          <w:szCs w:val="34"/>
        </w:rPr>
      </w:pPr>
      <w:r>
        <w:rPr>
          <w:rFonts w:ascii="仿宋" w:hAnsi="仿宋" w:eastAsia="仿宋"/>
          <w:color w:val="000000"/>
          <w:sz w:val="21"/>
        </w:rPr>
        <w:t>附表</w:t>
      </w:r>
      <w:r>
        <w:rPr>
          <w:rFonts w:ascii="仿宋" w:hAnsi="仿宋" w:eastAsia="仿宋" w:cs="Times New Roman"/>
          <w:color w:val="000000"/>
          <w:sz w:val="21"/>
          <w:szCs w:val="34"/>
        </w:rPr>
        <w:t>2</w:t>
      </w:r>
    </w:p>
    <w:p>
      <w:pPr>
        <w:pStyle w:val="404"/>
        <w:shd w:val="clear" w:color="auto" w:fill="auto"/>
        <w:adjustRightInd w:val="0"/>
        <w:snapToGrid w:val="0"/>
        <w:spacing w:line="312" w:lineRule="auto"/>
        <w:ind w:firstLine="420" w:firstLineChars="200"/>
        <w:jc w:val="both"/>
        <w:rPr>
          <w:rFonts w:hint="eastAsia" w:ascii="仿宋" w:hAnsi="仿宋" w:eastAsia="仿宋"/>
          <w:sz w:val="21"/>
          <w:szCs w:val="32"/>
        </w:rPr>
      </w:pPr>
      <w:r>
        <w:rPr>
          <w:rFonts w:ascii="仿宋" w:hAnsi="仿宋" w:eastAsia="仿宋"/>
          <w:color w:val="000000"/>
          <w:sz w:val="21"/>
          <w:szCs w:val="32"/>
        </w:rPr>
        <w:t>合作办理外汇衍生品业务统计表</w:t>
      </w:r>
    </w:p>
    <w:p>
      <w:pPr>
        <w:pStyle w:val="406"/>
        <w:shd w:val="clear" w:color="auto" w:fill="auto"/>
        <w:adjustRightInd w:val="0"/>
        <w:snapToGrid w:val="0"/>
        <w:spacing w:line="312" w:lineRule="auto"/>
        <w:ind w:left="77" w:firstLine="420" w:firstLineChars="200"/>
        <w:jc w:val="both"/>
        <w:rPr>
          <w:rFonts w:hint="eastAsia" w:ascii="仿宋" w:hAnsi="仿宋" w:eastAsia="仿宋"/>
          <w:sz w:val="21"/>
        </w:rPr>
      </w:pPr>
      <w:r>
        <w:rPr>
          <w:rFonts w:ascii="仿宋" w:hAnsi="仿宋" w:eastAsia="仿宋"/>
          <w:color w:val="000000"/>
          <w:sz w:val="21"/>
        </w:rPr>
        <w:t>具备资格银行：合作银行：单位：万美元</w:t>
      </w:r>
    </w:p>
    <w:tbl>
      <w:tblPr>
        <w:tblStyle w:val="58"/>
        <w:tblW w:w="0" w:type="auto"/>
        <w:jc w:val="center"/>
        <w:tblLayout w:type="fixed"/>
        <w:tblCellMar>
          <w:top w:w="0" w:type="dxa"/>
          <w:left w:w="10" w:type="dxa"/>
          <w:bottom w:w="0" w:type="dxa"/>
          <w:right w:w="10" w:type="dxa"/>
        </w:tblCellMar>
      </w:tblPr>
      <w:tblGrid>
        <w:gridCol w:w="1334"/>
        <w:gridCol w:w="1646"/>
        <w:gridCol w:w="2928"/>
        <w:gridCol w:w="686"/>
        <w:gridCol w:w="840"/>
      </w:tblGrid>
      <w:tr>
        <w:tblPrEx>
          <w:tblCellMar>
            <w:top w:w="0" w:type="dxa"/>
            <w:left w:w="10" w:type="dxa"/>
            <w:bottom w:w="0" w:type="dxa"/>
            <w:right w:w="10" w:type="dxa"/>
          </w:tblCellMar>
        </w:tblPrEx>
        <w:trPr>
          <w:trHeight w:val="326" w:hRule="exact"/>
          <w:jc w:val="center"/>
        </w:trPr>
        <w:tc>
          <w:tcPr>
            <w:tcW w:w="2980" w:type="dxa"/>
            <w:gridSpan w:val="2"/>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类别</w:t>
            </w: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项目</w:t>
            </w:r>
          </w:p>
        </w:tc>
        <w:tc>
          <w:tcPr>
            <w:tcW w:w="686"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笔数</w:t>
            </w:r>
          </w:p>
        </w:tc>
        <w:tc>
          <w:tcPr>
            <w:tcW w:w="840" w:type="dxa"/>
            <w:tcBorders>
              <w:top w:val="single" w:color="auto" w:sz="4" w:space="0"/>
              <w:left w:val="single" w:color="auto" w:sz="4" w:space="0"/>
              <w:righ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金额</w:t>
            </w:r>
          </w:p>
        </w:tc>
      </w:tr>
      <w:tr>
        <w:tblPrEx>
          <w:tblCellMar>
            <w:top w:w="0" w:type="dxa"/>
            <w:left w:w="10" w:type="dxa"/>
            <w:bottom w:w="0" w:type="dxa"/>
            <w:right w:w="10" w:type="dxa"/>
          </w:tblCellMar>
        </w:tblPrEx>
        <w:trPr>
          <w:trHeight w:val="322" w:hRule="exact"/>
          <w:jc w:val="center"/>
        </w:trPr>
        <w:tc>
          <w:tcPr>
            <w:tcW w:w="2980" w:type="dxa"/>
            <w:gridSpan w:val="2"/>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远期结汇</w:t>
            </w: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本月签约额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2" w:hRule="exact"/>
          <w:jc w:val="center"/>
        </w:trPr>
        <w:tc>
          <w:tcPr>
            <w:tcW w:w="2980" w:type="dxa"/>
            <w:gridSpan w:val="2"/>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本月末累计未到期额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2" w:hRule="exact"/>
          <w:jc w:val="center"/>
        </w:trPr>
        <w:tc>
          <w:tcPr>
            <w:tcW w:w="2980" w:type="dxa"/>
            <w:gridSpan w:val="2"/>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远期售汇</w:t>
            </w: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本月签约额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2" w:hRule="exact"/>
          <w:jc w:val="center"/>
        </w:trPr>
        <w:tc>
          <w:tcPr>
            <w:tcW w:w="2980" w:type="dxa"/>
            <w:gridSpan w:val="2"/>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本月末累计未到期额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6" w:hRule="exact"/>
          <w:jc w:val="center"/>
        </w:trPr>
        <w:tc>
          <w:tcPr>
            <w:tcW w:w="1334"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外汇掉期</w:t>
            </w:r>
          </w:p>
        </w:tc>
        <w:tc>
          <w:tcPr>
            <w:tcW w:w="1646"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结汇对售汇</w:t>
            </w: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本月签约额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2" w:hRule="exact"/>
          <w:jc w:val="center"/>
        </w:trPr>
        <w:tc>
          <w:tcPr>
            <w:tcW w:w="1334"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1646"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本月末累计未到期额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2" w:hRule="exact"/>
          <w:jc w:val="center"/>
        </w:trPr>
        <w:tc>
          <w:tcPr>
            <w:tcW w:w="1334"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1646"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售汇对结汇</w:t>
            </w: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本月签约额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2" w:hRule="exact"/>
          <w:jc w:val="center"/>
        </w:trPr>
        <w:tc>
          <w:tcPr>
            <w:tcW w:w="1334"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1646"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本月末累计未到期额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2" w:hRule="exact"/>
          <w:jc w:val="center"/>
        </w:trPr>
        <w:tc>
          <w:tcPr>
            <w:tcW w:w="1334"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货币掉期</w:t>
            </w:r>
          </w:p>
        </w:tc>
        <w:tc>
          <w:tcPr>
            <w:tcW w:w="1646"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结汇对售汇</w:t>
            </w: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本月签约额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2" w:hRule="exact"/>
          <w:jc w:val="center"/>
        </w:trPr>
        <w:tc>
          <w:tcPr>
            <w:tcW w:w="1334"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1646"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本月末累计未到期额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2" w:hRule="exact"/>
          <w:jc w:val="center"/>
        </w:trPr>
        <w:tc>
          <w:tcPr>
            <w:tcW w:w="1334"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1646"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售汇对结汇</w:t>
            </w:r>
          </w:p>
        </w:tc>
        <w:tc>
          <w:tcPr>
            <w:tcW w:w="2928"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本月签约额</w:t>
            </w:r>
          </w:p>
        </w:tc>
        <w:tc>
          <w:tcPr>
            <w:tcW w:w="68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326" w:hRule="exact"/>
          <w:jc w:val="center"/>
        </w:trPr>
        <w:tc>
          <w:tcPr>
            <w:tcW w:w="1334" w:type="dxa"/>
            <w:vMerge w:val="continue"/>
            <w:tcBorders>
              <w:left w:val="single" w:color="auto" w:sz="4" w:space="0"/>
              <w:bottom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1646" w:type="dxa"/>
            <w:vMerge w:val="continue"/>
            <w:tcBorders>
              <w:left w:val="single" w:color="auto" w:sz="4" w:space="0"/>
              <w:bottom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2928" w:type="dxa"/>
            <w:tcBorders>
              <w:top w:val="single" w:color="auto" w:sz="4" w:space="0"/>
              <w:left w:val="single" w:color="auto" w:sz="4" w:space="0"/>
              <w:bottom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本月末累计未到期额</w:t>
            </w:r>
          </w:p>
        </w:tc>
        <w:tc>
          <w:tcPr>
            <w:tcW w:w="686" w:type="dxa"/>
            <w:tcBorders>
              <w:top w:val="single" w:color="auto" w:sz="4" w:space="0"/>
              <w:left w:val="single" w:color="auto" w:sz="4" w:space="0"/>
              <w:bottom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40"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bl>
    <w:p>
      <w:pPr>
        <w:pStyle w:val="406"/>
        <w:shd w:val="clear" w:color="auto" w:fill="auto"/>
        <w:adjustRightInd w:val="0"/>
        <w:snapToGrid w:val="0"/>
        <w:spacing w:line="312" w:lineRule="auto"/>
        <w:ind w:firstLine="420" w:firstLineChars="200"/>
        <w:jc w:val="both"/>
        <w:rPr>
          <w:rFonts w:hint="eastAsia" w:ascii="仿宋" w:hAnsi="仿宋" w:eastAsia="仿宋"/>
          <w:sz w:val="21"/>
        </w:rPr>
      </w:pPr>
    </w:p>
    <w:p>
      <w:pPr>
        <w:pStyle w:val="406"/>
        <w:shd w:val="clear" w:color="auto" w:fill="auto"/>
        <w:adjustRightInd w:val="0"/>
        <w:snapToGrid w:val="0"/>
        <w:spacing w:line="312" w:lineRule="auto"/>
        <w:ind w:firstLine="630" w:firstLineChars="300"/>
        <w:jc w:val="both"/>
        <w:rPr>
          <w:rFonts w:hint="eastAsia" w:ascii="仿宋" w:hAnsi="仿宋" w:eastAsia="仿宋"/>
          <w:sz w:val="21"/>
          <w:lang w:val="en-US"/>
        </w:rPr>
      </w:pPr>
      <w:r>
        <w:rPr>
          <w:rFonts w:ascii="仿宋" w:hAnsi="仿宋" w:eastAsia="仿宋"/>
          <w:color w:val="000000"/>
          <w:sz w:val="21"/>
        </w:rPr>
        <w:t>制表</w:t>
      </w:r>
      <w:r>
        <w:rPr>
          <w:rFonts w:ascii="仿宋" w:hAnsi="仿宋" w:eastAsia="仿宋"/>
          <w:color w:val="000000"/>
          <w:sz w:val="21"/>
          <w:lang w:val="en-US"/>
        </w:rPr>
        <w:t>：</w:t>
      </w:r>
      <w:r>
        <w:rPr>
          <w:rFonts w:ascii="仿宋" w:hAnsi="仿宋" w:eastAsia="仿宋"/>
          <w:color w:val="000000"/>
          <w:sz w:val="21"/>
        </w:rPr>
        <w:t>复核</w:t>
      </w:r>
      <w:r>
        <w:rPr>
          <w:rFonts w:ascii="仿宋" w:hAnsi="仿宋" w:eastAsia="仿宋"/>
          <w:color w:val="000000"/>
          <w:sz w:val="21"/>
          <w:lang w:val="en-US"/>
        </w:rPr>
        <w:t>：</w:t>
      </w:r>
      <w:r>
        <w:rPr>
          <w:rFonts w:ascii="仿宋" w:hAnsi="仿宋" w:eastAsia="仿宋"/>
          <w:color w:val="000000"/>
          <w:sz w:val="21"/>
        </w:rPr>
        <w:t>制表日期</w:t>
      </w:r>
      <w:r>
        <w:rPr>
          <w:rFonts w:ascii="仿宋" w:hAnsi="仿宋" w:eastAsia="仿宋"/>
          <w:color w:val="000000"/>
          <w:sz w:val="21"/>
          <w:lang w:val="en-US"/>
        </w:rPr>
        <w:t>：</w:t>
      </w:r>
    </w:p>
    <w:p>
      <w:pPr>
        <w:pStyle w:val="406"/>
        <w:shd w:val="clear" w:color="auto" w:fill="auto"/>
        <w:adjustRightInd w:val="0"/>
        <w:snapToGrid w:val="0"/>
        <w:spacing w:line="312" w:lineRule="auto"/>
        <w:ind w:firstLine="630" w:firstLineChars="300"/>
        <w:jc w:val="both"/>
        <w:rPr>
          <w:rFonts w:hint="eastAsia" w:ascii="仿宋" w:hAnsi="仿宋" w:eastAsia="仿宋"/>
          <w:sz w:val="21"/>
        </w:rPr>
        <w:sectPr>
          <w:footerReference r:id="rId92" w:type="default"/>
          <w:pgSz w:w="11900" w:h="16840"/>
          <w:pgMar w:top="1295" w:right="1574" w:bottom="1569" w:left="1710" w:header="867" w:footer="3" w:gutter="0"/>
          <w:cols w:space="720" w:num="1"/>
          <w:docGrid w:linePitch="360" w:charSpace="0"/>
        </w:sectPr>
      </w:pPr>
      <w:r>
        <w:rPr>
          <w:rFonts w:ascii="仿宋" w:hAnsi="仿宋" w:eastAsia="仿宋"/>
          <w:color w:val="000000"/>
          <w:sz w:val="21"/>
        </w:rPr>
        <w:t>注：本表参考《银行结售汇统计制度》（汇发〔</w:t>
      </w:r>
      <w:r>
        <w:rPr>
          <w:rFonts w:ascii="仿宋" w:hAnsi="仿宋" w:eastAsia="仿宋" w:cs="Times New Roman"/>
          <w:color w:val="000000"/>
          <w:sz w:val="21"/>
        </w:rPr>
        <w:t>2019</w:t>
      </w:r>
      <w:r>
        <w:rPr>
          <w:rFonts w:ascii="仿宋" w:hAnsi="仿宋" w:eastAsia="仿宋"/>
          <w:color w:val="000000"/>
          <w:sz w:val="21"/>
        </w:rPr>
        <w:t>〕</w:t>
      </w:r>
      <w:r>
        <w:rPr>
          <w:rFonts w:ascii="仿宋" w:hAnsi="仿宋" w:eastAsia="仿宋" w:cs="Times New Roman"/>
          <w:color w:val="000000"/>
          <w:sz w:val="21"/>
        </w:rPr>
        <w:t>26</w:t>
      </w:r>
      <w:r>
        <w:rPr>
          <w:rFonts w:ascii="仿宋" w:hAnsi="仿宋" w:eastAsia="仿宋"/>
          <w:color w:val="000000"/>
          <w:sz w:val="21"/>
        </w:rPr>
        <w:t>号）相关要求填报。</w:t>
      </w:r>
    </w:p>
    <w:p>
      <w:pPr>
        <w:pStyle w:val="404"/>
        <w:shd w:val="clear" w:color="auto" w:fill="auto"/>
        <w:adjustRightInd w:val="0"/>
        <w:snapToGrid w:val="0"/>
        <w:spacing w:line="312" w:lineRule="auto"/>
        <w:ind w:firstLine="420" w:firstLineChars="200"/>
        <w:jc w:val="both"/>
        <w:rPr>
          <w:rFonts w:hint="eastAsia" w:ascii="仿宋" w:hAnsi="仿宋" w:eastAsia="仿宋"/>
          <w:sz w:val="21"/>
          <w:szCs w:val="34"/>
        </w:rPr>
      </w:pPr>
      <w:r>
        <w:rPr>
          <w:rFonts w:ascii="仿宋" w:hAnsi="仿宋" w:eastAsia="仿宋"/>
          <w:color w:val="000000"/>
          <w:sz w:val="21"/>
        </w:rPr>
        <w:t>附表</w:t>
      </w:r>
      <w:r>
        <w:rPr>
          <w:rFonts w:ascii="仿宋" w:hAnsi="仿宋" w:eastAsia="仿宋" w:cs="Times New Roman"/>
          <w:color w:val="000000"/>
          <w:sz w:val="21"/>
          <w:szCs w:val="34"/>
        </w:rPr>
        <w:t>3</w:t>
      </w:r>
    </w:p>
    <w:p>
      <w:pPr>
        <w:pStyle w:val="404"/>
        <w:shd w:val="clear" w:color="auto" w:fill="auto"/>
        <w:adjustRightInd w:val="0"/>
        <w:snapToGrid w:val="0"/>
        <w:spacing w:line="312" w:lineRule="auto"/>
        <w:ind w:firstLine="420" w:firstLineChars="200"/>
        <w:jc w:val="both"/>
        <w:rPr>
          <w:rFonts w:hint="eastAsia" w:ascii="仿宋" w:hAnsi="仿宋" w:eastAsia="仿宋"/>
          <w:sz w:val="21"/>
          <w:szCs w:val="32"/>
        </w:rPr>
      </w:pPr>
      <w:r>
        <w:rPr>
          <w:rFonts w:ascii="仿宋" w:hAnsi="仿宋" w:eastAsia="仿宋"/>
          <w:color w:val="000000"/>
          <w:sz w:val="21"/>
          <w:szCs w:val="32"/>
        </w:rPr>
        <w:t>辖内机构合作办理外汇衍生品业务情况一览表</w:t>
      </w:r>
    </w:p>
    <w:p>
      <w:pPr>
        <w:pStyle w:val="406"/>
        <w:shd w:val="clear" w:color="auto" w:fill="auto"/>
        <w:adjustRightInd w:val="0"/>
        <w:snapToGrid w:val="0"/>
        <w:spacing w:line="312" w:lineRule="auto"/>
        <w:ind w:left="101" w:firstLine="420" w:firstLineChars="200"/>
        <w:jc w:val="both"/>
        <w:rPr>
          <w:rFonts w:hint="eastAsia" w:ascii="仿宋" w:hAnsi="仿宋" w:eastAsia="仿宋"/>
          <w:sz w:val="21"/>
        </w:rPr>
      </w:pPr>
      <w:r>
        <w:rPr>
          <w:rFonts w:ascii="仿宋" w:hAnsi="仿宋" w:eastAsia="仿宋"/>
          <w:color w:val="000000"/>
          <w:sz w:val="21"/>
        </w:rPr>
        <w:t>国家外汇管理局—分局（外汇管理部）</w:t>
      </w:r>
    </w:p>
    <w:tbl>
      <w:tblPr>
        <w:tblStyle w:val="58"/>
        <w:tblW w:w="0" w:type="auto"/>
        <w:jc w:val="center"/>
        <w:tblLayout w:type="fixed"/>
        <w:tblCellMar>
          <w:top w:w="0" w:type="dxa"/>
          <w:left w:w="10" w:type="dxa"/>
          <w:bottom w:w="0" w:type="dxa"/>
          <w:right w:w="10" w:type="dxa"/>
        </w:tblCellMar>
      </w:tblPr>
      <w:tblGrid>
        <w:gridCol w:w="720"/>
        <w:gridCol w:w="758"/>
        <w:gridCol w:w="874"/>
        <w:gridCol w:w="1118"/>
        <w:gridCol w:w="1330"/>
        <w:gridCol w:w="1526"/>
        <w:gridCol w:w="1123"/>
      </w:tblGrid>
      <w:tr>
        <w:tblPrEx>
          <w:tblCellMar>
            <w:top w:w="0" w:type="dxa"/>
            <w:left w:w="10" w:type="dxa"/>
            <w:bottom w:w="0" w:type="dxa"/>
            <w:right w:w="10" w:type="dxa"/>
          </w:tblCellMar>
        </w:tblPrEx>
        <w:trPr>
          <w:trHeight w:val="326" w:hRule="exact"/>
          <w:jc w:val="center"/>
        </w:trPr>
        <w:tc>
          <w:tcPr>
            <w:tcW w:w="720"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序号</w:t>
            </w:r>
          </w:p>
        </w:tc>
        <w:tc>
          <w:tcPr>
            <w:tcW w:w="758"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合作银行</w:t>
            </w:r>
          </w:p>
        </w:tc>
        <w:tc>
          <w:tcPr>
            <w:tcW w:w="874"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合作类型</w:t>
            </w:r>
          </w:p>
        </w:tc>
        <w:tc>
          <w:tcPr>
            <w:tcW w:w="1118" w:type="dxa"/>
            <w:vMerge w:val="restart"/>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具备资格银行</w:t>
            </w:r>
          </w:p>
        </w:tc>
        <w:tc>
          <w:tcPr>
            <w:tcW w:w="1330"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合作</w:t>
            </w:r>
          </w:p>
        </w:tc>
        <w:tc>
          <w:tcPr>
            <w:tcW w:w="1526"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时间</w:t>
            </w:r>
          </w:p>
        </w:tc>
        <w:tc>
          <w:tcPr>
            <w:tcW w:w="1123" w:type="dxa"/>
            <w:vMerge w:val="restart"/>
            <w:tcBorders>
              <w:top w:val="single" w:color="auto" w:sz="4" w:space="0"/>
              <w:left w:val="single" w:color="auto" w:sz="4" w:space="0"/>
              <w:righ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备注</w:t>
            </w:r>
          </w:p>
        </w:tc>
      </w:tr>
      <w:tr>
        <w:tblPrEx>
          <w:tblCellMar>
            <w:top w:w="0" w:type="dxa"/>
            <w:left w:w="10" w:type="dxa"/>
            <w:bottom w:w="0" w:type="dxa"/>
            <w:right w:w="10" w:type="dxa"/>
          </w:tblCellMar>
        </w:tblPrEx>
        <w:trPr>
          <w:trHeight w:val="322" w:hRule="exact"/>
          <w:jc w:val="center"/>
        </w:trPr>
        <w:tc>
          <w:tcPr>
            <w:tcW w:w="720"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758"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874"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1118" w:type="dxa"/>
            <w:vMerge w:val="continue"/>
            <w:tcBorders>
              <w:lef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c>
          <w:tcPr>
            <w:tcW w:w="1330"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起始</w:t>
            </w:r>
          </w:p>
        </w:tc>
        <w:tc>
          <w:tcPr>
            <w:tcW w:w="1526" w:type="dxa"/>
            <w:tcBorders>
              <w:top w:val="single" w:color="auto" w:sz="4" w:space="0"/>
              <w:left w:val="single" w:color="auto" w:sz="4" w:space="0"/>
            </w:tcBorders>
            <w:shd w:val="clear" w:color="auto" w:fill="FFFFFF"/>
            <w:vAlign w:val="center"/>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宋体"/>
                <w:color w:val="000000"/>
                <w:sz w:val="21"/>
                <w:szCs w:val="22"/>
              </w:rPr>
              <w:t>终止</w:t>
            </w:r>
          </w:p>
        </w:tc>
        <w:tc>
          <w:tcPr>
            <w:tcW w:w="1123" w:type="dxa"/>
            <w:vMerge w:val="continue"/>
            <w:tcBorders>
              <w:left w:val="single" w:color="auto" w:sz="4" w:space="0"/>
              <w:right w:val="single" w:color="auto" w:sz="4" w:space="0"/>
            </w:tcBorders>
            <w:shd w:val="clear" w:color="auto" w:fill="FFFFFF"/>
            <w:vAlign w:val="center"/>
          </w:tcPr>
          <w:p>
            <w:pPr>
              <w:adjustRightInd w:val="0"/>
              <w:snapToGrid w:val="0"/>
              <w:spacing w:after="160" w:line="312" w:lineRule="auto"/>
              <w:ind w:firstLine="420" w:firstLineChars="200"/>
              <w:rPr>
                <w:rFonts w:hint="eastAsia" w:ascii="仿宋" w:hAnsi="仿宋" w:eastAsia="仿宋"/>
              </w:rPr>
            </w:pPr>
          </w:p>
        </w:tc>
      </w:tr>
      <w:tr>
        <w:tblPrEx>
          <w:tblCellMar>
            <w:top w:w="0" w:type="dxa"/>
            <w:left w:w="10" w:type="dxa"/>
            <w:bottom w:w="0" w:type="dxa"/>
            <w:right w:w="10" w:type="dxa"/>
          </w:tblCellMar>
        </w:tblPrEx>
        <w:trPr>
          <w:trHeight w:val="499" w:hRule="exact"/>
          <w:jc w:val="center"/>
        </w:trPr>
        <w:tc>
          <w:tcPr>
            <w:tcW w:w="720" w:type="dxa"/>
            <w:tcBorders>
              <w:top w:val="single" w:color="auto" w:sz="4" w:space="0"/>
              <w:left w:val="single" w:color="auto" w:sz="4" w:space="0"/>
            </w:tcBorders>
            <w:shd w:val="clear" w:color="auto" w:fill="FFFFFF"/>
            <w:vAlign w:val="bottom"/>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Times New Roman"/>
                <w:color w:val="000000"/>
                <w:sz w:val="21"/>
                <w:szCs w:val="22"/>
              </w:rPr>
              <w:t>1</w:t>
            </w:r>
          </w:p>
        </w:tc>
        <w:tc>
          <w:tcPr>
            <w:tcW w:w="75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74"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1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330"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52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23"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499" w:hRule="exact"/>
          <w:jc w:val="center"/>
        </w:trPr>
        <w:tc>
          <w:tcPr>
            <w:tcW w:w="720" w:type="dxa"/>
            <w:tcBorders>
              <w:top w:val="single" w:color="auto" w:sz="4" w:space="0"/>
              <w:left w:val="single" w:color="auto" w:sz="4" w:space="0"/>
            </w:tcBorders>
            <w:shd w:val="clear" w:color="auto" w:fill="FFFFFF"/>
            <w:vAlign w:val="bottom"/>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Times New Roman"/>
                <w:color w:val="000000"/>
                <w:sz w:val="21"/>
                <w:szCs w:val="22"/>
              </w:rPr>
              <w:t>2</w:t>
            </w:r>
          </w:p>
        </w:tc>
        <w:tc>
          <w:tcPr>
            <w:tcW w:w="75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74"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1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330"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52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23"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499" w:hRule="exact"/>
          <w:jc w:val="center"/>
        </w:trPr>
        <w:tc>
          <w:tcPr>
            <w:tcW w:w="720" w:type="dxa"/>
            <w:tcBorders>
              <w:top w:val="single" w:color="auto" w:sz="4" w:space="0"/>
              <w:left w:val="single" w:color="auto" w:sz="4" w:space="0"/>
            </w:tcBorders>
            <w:shd w:val="clear" w:color="auto" w:fill="FFFFFF"/>
            <w:vAlign w:val="bottom"/>
          </w:tcPr>
          <w:p>
            <w:pPr>
              <w:pStyle w:val="394"/>
              <w:shd w:val="clear" w:color="auto" w:fill="auto"/>
              <w:adjustRightInd w:val="0"/>
              <w:snapToGrid w:val="0"/>
              <w:spacing w:after="160" w:line="312" w:lineRule="auto"/>
              <w:ind w:firstLine="420" w:firstLineChars="200"/>
              <w:jc w:val="both"/>
              <w:rPr>
                <w:rFonts w:hint="eastAsia" w:ascii="仿宋" w:hAnsi="仿宋" w:eastAsia="仿宋"/>
                <w:sz w:val="21"/>
                <w:szCs w:val="22"/>
              </w:rPr>
            </w:pPr>
            <w:r>
              <w:rPr>
                <w:rFonts w:hint="eastAsia" w:ascii="仿宋" w:hAnsi="仿宋" w:eastAsia="仿宋" w:cs="Times New Roman"/>
                <w:color w:val="000000"/>
                <w:sz w:val="21"/>
                <w:szCs w:val="22"/>
              </w:rPr>
              <w:t>3</w:t>
            </w:r>
          </w:p>
        </w:tc>
        <w:tc>
          <w:tcPr>
            <w:tcW w:w="75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74"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1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330"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52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23"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499" w:hRule="exact"/>
          <w:jc w:val="center"/>
        </w:trPr>
        <w:tc>
          <w:tcPr>
            <w:tcW w:w="720"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75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74"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1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330"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52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23"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499" w:hRule="exact"/>
          <w:jc w:val="center"/>
        </w:trPr>
        <w:tc>
          <w:tcPr>
            <w:tcW w:w="720"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75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74"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18"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330"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526" w:type="dxa"/>
            <w:tcBorders>
              <w:top w:val="single" w:color="auto" w:sz="4" w:space="0"/>
              <w:lef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23" w:type="dxa"/>
            <w:tcBorders>
              <w:top w:val="single" w:color="auto" w:sz="4" w:space="0"/>
              <w:left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r>
        <w:tblPrEx>
          <w:tblCellMar>
            <w:top w:w="0" w:type="dxa"/>
            <w:left w:w="10" w:type="dxa"/>
            <w:bottom w:w="0" w:type="dxa"/>
            <w:right w:w="10" w:type="dxa"/>
          </w:tblCellMar>
        </w:tblPrEx>
        <w:trPr>
          <w:trHeight w:val="504" w:hRule="exact"/>
          <w:jc w:val="center"/>
        </w:trPr>
        <w:tc>
          <w:tcPr>
            <w:tcW w:w="720" w:type="dxa"/>
            <w:tcBorders>
              <w:top w:val="single" w:color="auto" w:sz="4" w:space="0"/>
              <w:left w:val="single" w:color="auto" w:sz="4" w:space="0"/>
              <w:bottom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758" w:type="dxa"/>
            <w:tcBorders>
              <w:top w:val="single" w:color="auto" w:sz="4" w:space="0"/>
              <w:left w:val="single" w:color="auto" w:sz="4" w:space="0"/>
              <w:bottom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874" w:type="dxa"/>
            <w:tcBorders>
              <w:top w:val="single" w:color="auto" w:sz="4" w:space="0"/>
              <w:left w:val="single" w:color="auto" w:sz="4" w:space="0"/>
              <w:bottom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18" w:type="dxa"/>
            <w:tcBorders>
              <w:top w:val="single" w:color="auto" w:sz="4" w:space="0"/>
              <w:left w:val="single" w:color="auto" w:sz="4" w:space="0"/>
              <w:bottom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330" w:type="dxa"/>
            <w:tcBorders>
              <w:top w:val="single" w:color="auto" w:sz="4" w:space="0"/>
              <w:left w:val="single" w:color="auto" w:sz="4" w:space="0"/>
              <w:bottom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526" w:type="dxa"/>
            <w:tcBorders>
              <w:top w:val="single" w:color="auto" w:sz="4" w:space="0"/>
              <w:left w:val="single" w:color="auto" w:sz="4" w:space="0"/>
              <w:bottom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c>
          <w:tcPr>
            <w:tcW w:w="1123" w:type="dxa"/>
            <w:tcBorders>
              <w:top w:val="single" w:color="auto" w:sz="4" w:space="0"/>
              <w:left w:val="single" w:color="auto" w:sz="4" w:space="0"/>
              <w:bottom w:val="single" w:color="auto" w:sz="4" w:space="0"/>
              <w:right w:val="single" w:color="auto" w:sz="4" w:space="0"/>
            </w:tcBorders>
            <w:shd w:val="clear" w:color="auto" w:fill="FFFFFF"/>
          </w:tcPr>
          <w:p>
            <w:pPr>
              <w:adjustRightInd w:val="0"/>
              <w:snapToGrid w:val="0"/>
              <w:spacing w:after="160" w:line="312" w:lineRule="auto"/>
              <w:ind w:firstLine="420" w:firstLineChars="200"/>
              <w:rPr>
                <w:rFonts w:hint="eastAsia" w:ascii="仿宋" w:hAnsi="仿宋" w:eastAsia="仿宋"/>
                <w:szCs w:val="10"/>
              </w:rPr>
            </w:pPr>
          </w:p>
        </w:tc>
      </w:tr>
    </w:tbl>
    <w:p>
      <w:pPr>
        <w:pStyle w:val="406"/>
        <w:shd w:val="clear" w:color="auto" w:fill="auto"/>
        <w:tabs>
          <w:tab w:val="left" w:pos="1478"/>
        </w:tabs>
        <w:adjustRightInd w:val="0"/>
        <w:snapToGrid w:val="0"/>
        <w:spacing w:line="312" w:lineRule="auto"/>
        <w:ind w:left="67" w:firstLine="420" w:firstLineChars="200"/>
        <w:jc w:val="both"/>
        <w:rPr>
          <w:rFonts w:hint="eastAsia" w:ascii="仿宋" w:hAnsi="仿宋" w:eastAsia="仿宋"/>
          <w:sz w:val="21"/>
          <w:lang w:val="en-US"/>
        </w:rPr>
      </w:pPr>
      <w:r>
        <w:rPr>
          <w:rFonts w:ascii="仿宋" w:hAnsi="仿宋" w:eastAsia="仿宋"/>
          <w:color w:val="000000"/>
          <w:sz w:val="21"/>
        </w:rPr>
        <w:t>制表</w:t>
      </w:r>
      <w:r>
        <w:rPr>
          <w:rFonts w:ascii="仿宋" w:hAnsi="仿宋" w:eastAsia="仿宋" w:cs="Times New Roman"/>
          <w:color w:val="000000"/>
          <w:sz w:val="21"/>
          <w:lang w:val="en-US"/>
        </w:rPr>
        <w:t>:</w:t>
      </w:r>
      <w:r>
        <w:rPr>
          <w:rFonts w:ascii="仿宋" w:hAnsi="仿宋" w:eastAsia="仿宋" w:cs="Times New Roman"/>
          <w:color w:val="000000"/>
          <w:sz w:val="21"/>
          <w:lang w:val="en-US"/>
        </w:rPr>
        <w:tab/>
      </w:r>
      <w:r>
        <w:rPr>
          <w:rFonts w:ascii="仿宋" w:hAnsi="仿宋" w:eastAsia="仿宋"/>
          <w:color w:val="000000"/>
          <w:sz w:val="21"/>
        </w:rPr>
        <w:t>复核</w:t>
      </w:r>
      <w:r>
        <w:rPr>
          <w:rFonts w:ascii="仿宋" w:hAnsi="仿宋" w:eastAsia="仿宋"/>
          <w:color w:val="000000"/>
          <w:sz w:val="21"/>
          <w:lang w:val="en-US"/>
        </w:rPr>
        <w:t>：</w:t>
      </w:r>
      <w:r>
        <w:rPr>
          <w:rFonts w:ascii="仿宋" w:hAnsi="仿宋" w:eastAsia="仿宋"/>
          <w:color w:val="000000"/>
          <w:sz w:val="21"/>
        </w:rPr>
        <w:t>制表日期</w:t>
      </w:r>
      <w:r>
        <w:rPr>
          <w:rFonts w:ascii="仿宋" w:hAnsi="仿宋" w:eastAsia="仿宋"/>
          <w:color w:val="000000"/>
          <w:sz w:val="21"/>
          <w:lang w:val="en-US"/>
        </w:rPr>
        <w:t>：</w:t>
      </w:r>
    </w:p>
    <w:p>
      <w:pPr>
        <w:pStyle w:val="406"/>
        <w:shd w:val="clear" w:color="auto" w:fill="auto"/>
        <w:adjustRightInd w:val="0"/>
        <w:snapToGrid w:val="0"/>
        <w:spacing w:line="312" w:lineRule="auto"/>
        <w:ind w:left="67" w:firstLine="420" w:firstLineChars="200"/>
        <w:jc w:val="both"/>
        <w:rPr>
          <w:rFonts w:hint="eastAsia" w:ascii="仿宋" w:hAnsi="仿宋" w:eastAsia="仿宋"/>
          <w:sz w:val="21"/>
        </w:rPr>
      </w:pPr>
      <w:r>
        <w:rPr>
          <w:rFonts w:ascii="仿宋" w:hAnsi="仿宋" w:eastAsia="仿宋"/>
          <w:color w:val="000000"/>
          <w:sz w:val="21"/>
        </w:rPr>
        <w:t>注：</w:t>
      </w:r>
      <w:r>
        <w:rPr>
          <w:rFonts w:ascii="仿宋" w:hAnsi="仿宋" w:eastAsia="仿宋" w:cs="Times New Roman"/>
          <w:color w:val="000000"/>
          <w:sz w:val="21"/>
        </w:rPr>
        <w:t>1.</w:t>
      </w:r>
      <w:r>
        <w:rPr>
          <w:rFonts w:ascii="仿宋" w:hAnsi="仿宋" w:eastAsia="仿宋"/>
          <w:color w:val="000000"/>
          <w:sz w:val="21"/>
        </w:rPr>
        <w:t>合作类型：合作远期、合作掉期。</w:t>
      </w:r>
    </w:p>
    <w:p>
      <w:pPr>
        <w:pStyle w:val="279"/>
        <w:numPr>
          <w:ilvl w:val="0"/>
          <w:numId w:val="3"/>
        </w:numPr>
        <w:shd w:val="clear" w:color="auto" w:fill="auto"/>
        <w:tabs>
          <w:tab w:val="left" w:pos="1410"/>
        </w:tabs>
        <w:adjustRightInd w:val="0"/>
        <w:snapToGrid w:val="0"/>
        <w:spacing w:before="0" w:after="0" w:line="312" w:lineRule="auto"/>
        <w:ind w:left="600" w:firstLine="500" w:firstLineChars="200"/>
        <w:jc w:val="both"/>
        <w:rPr>
          <w:rFonts w:hint="eastAsia" w:ascii="仿宋" w:hAnsi="仿宋" w:eastAsia="仿宋"/>
          <w:sz w:val="21"/>
        </w:rPr>
      </w:pPr>
      <w:r>
        <w:rPr>
          <w:rFonts w:ascii="仿宋" w:hAnsi="仿宋" w:eastAsia="仿宋"/>
          <w:color w:val="000000"/>
          <w:sz w:val="21"/>
        </w:rPr>
        <w:t>合作起始时间：报表期内合作办理外汇衍生品业务的准予许可时间或新增、变更合作银行的报备时间。</w:t>
      </w:r>
    </w:p>
    <w:p>
      <w:pPr>
        <w:pStyle w:val="279"/>
        <w:numPr>
          <w:ilvl w:val="0"/>
          <w:numId w:val="3"/>
        </w:numPr>
        <w:shd w:val="clear" w:color="auto" w:fill="auto"/>
        <w:tabs>
          <w:tab w:val="left" w:pos="1410"/>
        </w:tabs>
        <w:adjustRightInd w:val="0"/>
        <w:snapToGrid w:val="0"/>
        <w:spacing w:before="0" w:after="0" w:line="312" w:lineRule="auto"/>
        <w:ind w:left="600" w:firstLine="500" w:firstLineChars="200"/>
        <w:jc w:val="both"/>
        <w:rPr>
          <w:rFonts w:hint="eastAsia" w:ascii="仿宋" w:hAnsi="仿宋" w:eastAsia="仿宋"/>
          <w:sz w:val="21"/>
        </w:rPr>
      </w:pPr>
      <w:r>
        <w:rPr>
          <w:rFonts w:ascii="仿宋" w:hAnsi="仿宋" w:eastAsia="仿宋"/>
          <w:color w:val="000000"/>
          <w:sz w:val="21"/>
        </w:rPr>
        <w:t>合作终止时间：报表期内终止合作关系的时间，如报表期内合作关系仍然存续此项不需填。</w:t>
      </w:r>
    </w:p>
    <w:p>
      <w:pPr>
        <w:adjustRightInd w:val="0"/>
        <w:snapToGrid w:val="0"/>
        <w:spacing w:line="312" w:lineRule="auto"/>
        <w:jc w:val="left"/>
        <w:rPr>
          <w:rFonts w:hint="eastAsia" w:ascii="仿宋" w:hAnsi="仿宋" w:eastAsia="仿宋"/>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