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4"/>
        <w:adjustRightInd w:val="0"/>
        <w:snapToGrid w:val="0"/>
        <w:spacing w:before="0" w:after="120" w:afterLines="50" w:line="240" w:lineRule="auto"/>
        <w:jc w:val="center"/>
        <w:rPr>
          <w:rFonts w:hint="eastAsia" w:ascii="仿宋" w:hAnsi="仿宋" w:eastAsia="仿宋"/>
          <w:sz w:val="21"/>
          <w:szCs w:val="21"/>
        </w:rPr>
      </w:pPr>
      <w:bookmarkStart w:id="1113" w:name="_Toc32220"/>
      <w:r>
        <w:rPr>
          <w:rFonts w:hint="eastAsia" w:ascii="仿宋" w:hAnsi="仿宋" w:eastAsia="仿宋"/>
          <w:sz w:val="21"/>
          <w:szCs w:val="21"/>
        </w:rPr>
        <w:t>122.1《银行结售汇统计制度》问题解答</w:t>
      </w:r>
      <w:bookmarkEnd w:id="1113"/>
    </w:p>
    <w:p>
      <w:pPr>
        <w:pStyle w:val="57"/>
        <w:spacing w:after="0" w:line="240" w:lineRule="auto"/>
        <w:ind w:left="0" w:leftChars="0" w:firstLine="422"/>
        <w:rPr>
          <w:rFonts w:hint="eastAsia" w:ascii="仿宋" w:hAnsi="仿宋" w:eastAsia="仿宋"/>
          <w:b/>
          <w:bCs/>
          <w:szCs w:val="21"/>
        </w:rPr>
      </w:pPr>
    </w:p>
    <w:p>
      <w:pPr>
        <w:pStyle w:val="57"/>
        <w:snapToGrid w:val="0"/>
        <w:spacing w:after="0" w:line="360" w:lineRule="exact"/>
        <w:ind w:left="0" w:leftChars="0" w:firstLine="422"/>
        <w:rPr>
          <w:rFonts w:hint="eastAsia"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问题：</w:t>
      </w:r>
      <w:r>
        <w:rPr>
          <w:rFonts w:ascii="仿宋" w:hAnsi="仿宋" w:eastAsia="仿宋"/>
          <w:b/>
          <w:bCs/>
          <w:szCs w:val="21"/>
        </w:rPr>
        <w:t>日前，外汇局发布实施《通过银行进行国际收支统计申报业务指引（2023版）》（汇发〔2023〕10号印发），将中外资机构分类门槛要求由单个外商投资者持股比例25%调整为10%。请问</w:t>
      </w:r>
      <w:r>
        <w:rPr>
          <w:rFonts w:hint="eastAsia" w:ascii="仿宋" w:hAnsi="仿宋" w:eastAsia="仿宋"/>
          <w:b/>
          <w:bCs/>
          <w:szCs w:val="21"/>
        </w:rPr>
        <w:t>银行在报送结售汇</w:t>
      </w:r>
      <w:r>
        <w:rPr>
          <w:rFonts w:ascii="仿宋" w:hAnsi="仿宋" w:eastAsia="仿宋"/>
          <w:b/>
          <w:bCs/>
          <w:szCs w:val="21"/>
        </w:rPr>
        <w:t>统计</w:t>
      </w:r>
      <w:r>
        <w:rPr>
          <w:rFonts w:hint="eastAsia" w:ascii="仿宋" w:hAnsi="仿宋" w:eastAsia="仿宋"/>
          <w:b/>
          <w:bCs/>
          <w:szCs w:val="21"/>
        </w:rPr>
        <w:t>数据时，应如何区分中资</w:t>
      </w:r>
      <w:r>
        <w:rPr>
          <w:rFonts w:ascii="仿宋" w:hAnsi="仿宋" w:eastAsia="仿宋"/>
          <w:b/>
          <w:bCs/>
          <w:szCs w:val="21"/>
        </w:rPr>
        <w:t>机构</w:t>
      </w:r>
      <w:r>
        <w:rPr>
          <w:rFonts w:hint="eastAsia" w:ascii="仿宋" w:hAnsi="仿宋" w:eastAsia="仿宋"/>
          <w:b/>
          <w:bCs/>
          <w:szCs w:val="21"/>
        </w:rPr>
        <w:t>和</w:t>
      </w:r>
      <w:r>
        <w:rPr>
          <w:rFonts w:ascii="仿宋" w:hAnsi="仿宋" w:eastAsia="仿宋"/>
          <w:b/>
          <w:bCs/>
          <w:szCs w:val="21"/>
        </w:rPr>
        <w:t>外资机构</w:t>
      </w:r>
      <w:r>
        <w:rPr>
          <w:rFonts w:hint="eastAsia" w:ascii="仿宋" w:hAnsi="仿宋" w:eastAsia="仿宋"/>
          <w:b/>
          <w:bCs/>
          <w:szCs w:val="21"/>
        </w:rPr>
        <w:t>？</w:t>
      </w:r>
    </w:p>
    <w:p>
      <w:pPr>
        <w:pStyle w:val="57"/>
        <w:snapToGrid w:val="0"/>
        <w:spacing w:after="0" w:line="360" w:lineRule="exact"/>
        <w:ind w:left="0" w:leftChars="0" w:firstLine="422"/>
      </w:pPr>
      <w:r>
        <w:rPr>
          <w:rFonts w:hint="eastAsia" w:ascii="仿宋" w:hAnsi="仿宋" w:eastAsia="仿宋"/>
          <w:b/>
          <w:bCs/>
          <w:szCs w:val="21"/>
        </w:rPr>
        <w:t>回答：</w:t>
      </w:r>
      <w:r>
        <w:rPr>
          <w:rFonts w:ascii="仿宋" w:hAnsi="仿宋" w:eastAsia="仿宋"/>
          <w:szCs w:val="21"/>
        </w:rPr>
        <w:t>结售汇统计与涉外收支统计对中外资机构分类适用同样的标准，即当单个外商投资者持股比例大于或等于10%时，客户类别填报在“外资机构”项下，当单个外商投资者持股比例小于10%时，客户类别填报在“中资机构”项下。</w:t>
      </w:r>
      <w:r>
        <w:rPr>
          <w:rFonts w:hint="eastAsia" w:ascii="仿宋" w:hAnsi="仿宋" w:eastAsia="仿宋" w:cs="仿宋"/>
        </w:rPr>
        <w:t>原则上，统计期内发生结售汇业务的客户应按新标准调整客户类别。对于发生结售汇业务但未发生涉外收支业务的客户，其分类调整进度可与涉外收支统计保持一致，暂不调整客</w:t>
      </w:r>
    </w:p>
    <w:p>
      <w:pPr>
        <w:pStyle w:val="57"/>
        <w:snapToGrid w:val="0"/>
        <w:spacing w:after="0" w:line="360" w:lineRule="exact"/>
        <w:ind w:left="0" w:leftChars="0" w:firstLine="422"/>
        <w:rPr>
          <w:rFonts w:hint="eastAsia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