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20" w:afterLines="50" w:line="240" w:lineRule="auto"/>
        <w:jc w:val="center"/>
        <w:rPr>
          <w:rFonts w:hint="eastAsia" w:ascii="仿宋" w:hAnsi="仿宋" w:eastAsia="仿宋"/>
          <w:sz w:val="21"/>
          <w:szCs w:val="21"/>
        </w:rPr>
      </w:pPr>
      <w:bookmarkStart w:id="1126" w:name="_Toc520919538"/>
      <w:bookmarkStart w:id="1127" w:name="_Toc520919827"/>
      <w:bookmarkStart w:id="1128" w:name="_Toc33532852"/>
      <w:bookmarkStart w:id="1129" w:name="_Toc30904"/>
      <w:r>
        <w:rPr>
          <w:rFonts w:hint="eastAsia" w:ascii="仿宋" w:hAnsi="仿宋" w:eastAsia="仿宋"/>
          <w:sz w:val="21"/>
          <w:szCs w:val="21"/>
        </w:rPr>
        <w:t xml:space="preserve">126 </w:t>
      </w:r>
      <w:r>
        <w:rPr>
          <w:rFonts w:ascii="仿宋" w:hAnsi="仿宋" w:eastAsia="仿宋"/>
          <w:sz w:val="21"/>
          <w:szCs w:val="21"/>
        </w:rPr>
        <w:t xml:space="preserve"> </w:t>
      </w:r>
      <w:r>
        <w:rPr>
          <w:rFonts w:hint="eastAsia" w:ascii="仿宋" w:hAnsi="仿宋" w:eastAsia="仿宋"/>
          <w:sz w:val="21"/>
          <w:szCs w:val="21"/>
        </w:rPr>
        <w:t>国家外汇管理局关于银联国际有限公司承接</w:t>
      </w:r>
      <w:r>
        <w:rPr>
          <w:rFonts w:ascii="仿宋" w:hAnsi="仿宋" w:eastAsia="仿宋"/>
          <w:sz w:val="21"/>
          <w:szCs w:val="21"/>
        </w:rPr>
        <w:br w:type="textWrapping"/>
      </w:r>
      <w:r>
        <w:rPr>
          <w:rFonts w:hint="eastAsia" w:ascii="仿宋" w:hAnsi="仿宋" w:eastAsia="仿宋"/>
          <w:sz w:val="21"/>
          <w:szCs w:val="21"/>
        </w:rPr>
        <w:t>银联卡境外业务相关外汇业务资质等事宜的批复</w:t>
      </w:r>
      <w:r>
        <w:rPr>
          <w:rFonts w:ascii="仿宋" w:hAnsi="仿宋" w:eastAsia="仿宋"/>
          <w:sz w:val="21"/>
          <w:szCs w:val="21"/>
        </w:rPr>
        <w:br w:type="textWrapping"/>
      </w:r>
      <w:r>
        <w:rPr>
          <w:rFonts w:hint="eastAsia" w:ascii="仿宋" w:hAnsi="仿宋" w:eastAsia="仿宋"/>
          <w:sz w:val="21"/>
          <w:szCs w:val="21"/>
        </w:rPr>
        <w:t xml:space="preserve"> 汇复〔2013〕125号</w:t>
      </w:r>
      <w:bookmarkEnd w:id="1126"/>
      <w:bookmarkEnd w:id="1127"/>
      <w:bookmarkEnd w:id="1128"/>
      <w:bookmarkEnd w:id="1129"/>
    </w:p>
    <w:p>
      <w:pPr>
        <w:adjustRightInd w:val="0"/>
        <w:snapToGrid w:val="0"/>
        <w:spacing w:line="312" w:lineRule="auto"/>
        <w:rPr>
          <w:rFonts w:hint="eastAsia" w:ascii="仿宋" w:hAnsi="仿宋" w:eastAsia="仿宋"/>
          <w:szCs w:val="21"/>
        </w:rPr>
      </w:pPr>
      <w:r>
        <w:rPr>
          <w:rFonts w:ascii="仿宋" w:hAnsi="仿宋" w:eastAsia="仿宋"/>
          <w:szCs w:val="21"/>
        </w:rPr>
        <w:t>中国银联股份有限公司</w:t>
      </w:r>
      <w:r>
        <w:rPr>
          <w:rFonts w:hint="eastAsia" w:ascii="仿宋" w:hAnsi="仿宋" w:eastAsia="仿宋"/>
          <w:szCs w:val="21"/>
        </w:rPr>
        <w:t>：</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你公司《关于申请增加境内清算代理行的请示》（银联发〔2013</w:t>
      </w:r>
      <w:r>
        <w:rPr>
          <w:rFonts w:hint="eastAsia" w:ascii="仿宋" w:hAnsi="仿宋" w:eastAsia="仿宋"/>
          <w:szCs w:val="21"/>
        </w:rPr>
        <w:t>〕</w:t>
      </w:r>
      <w:r>
        <w:rPr>
          <w:rFonts w:ascii="仿宋" w:hAnsi="仿宋" w:eastAsia="仿宋"/>
          <w:szCs w:val="21"/>
        </w:rPr>
        <w:t>20号）和《关于由银联国际有限公司承接银联卡境外业务相关外汇业务资质的请示》（银联发</w:t>
      </w:r>
      <w:r>
        <w:rPr>
          <w:rFonts w:hint="eastAsia" w:ascii="仿宋" w:hAnsi="仿宋" w:eastAsia="仿宋"/>
          <w:szCs w:val="21"/>
        </w:rPr>
        <w:t>〔</w:t>
      </w:r>
      <w:r>
        <w:rPr>
          <w:rFonts w:ascii="仿宋" w:hAnsi="仿宋" w:eastAsia="仿宋"/>
          <w:szCs w:val="21"/>
        </w:rPr>
        <w:t>2013</w:t>
      </w:r>
      <w:r>
        <w:rPr>
          <w:rFonts w:hint="eastAsia" w:ascii="仿宋" w:hAnsi="仿宋" w:eastAsia="仿宋"/>
          <w:szCs w:val="21"/>
        </w:rPr>
        <w:t>〕</w:t>
      </w:r>
      <w:r>
        <w:rPr>
          <w:rFonts w:ascii="仿宋" w:hAnsi="仿宋" w:eastAsia="仿宋"/>
          <w:szCs w:val="21"/>
        </w:rPr>
        <w:t>42号）收悉。现批复如下：</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同意由银联国际有限公司（以下简称银联国际）承接接你公司银联卡境外业务的相关外汇业务资质及银联卡跨境汇款境外汇人业务。</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银联国际办理银联人民</w:t>
      </w:r>
      <w:r>
        <w:rPr>
          <w:rFonts w:hint="eastAsia" w:ascii="仿宋" w:hAnsi="仿宋" w:eastAsia="仿宋"/>
          <w:szCs w:val="21"/>
        </w:rPr>
        <w:t>币</w:t>
      </w:r>
      <w:r>
        <w:rPr>
          <w:rFonts w:ascii="仿宋" w:hAnsi="仿宋" w:eastAsia="仿宋"/>
          <w:szCs w:val="21"/>
        </w:rPr>
        <w:t>卡境外业算时，按照下列规定执行：</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（一）与境内发卡机构按照商业原则自行选择以人民币或外币清算。若从境内发卡机构收取人民币，可以在境内清算代理行统</w:t>
      </w:r>
      <w:r>
        <w:rPr>
          <w:rFonts w:hint="eastAsia" w:ascii="仿宋" w:hAnsi="仿宋" w:eastAsia="仿宋"/>
          <w:szCs w:val="21"/>
        </w:rPr>
        <w:t>一</w:t>
      </w:r>
      <w:r>
        <w:rPr>
          <w:rFonts w:ascii="仿宋" w:hAnsi="仿宋" w:eastAsia="仿宋"/>
          <w:szCs w:val="21"/>
        </w:rPr>
        <w:t>办理购汇，向境外收单机构支付</w:t>
      </w:r>
      <w:r>
        <w:rPr>
          <w:rFonts w:hint="eastAsia" w:ascii="仿宋" w:hAnsi="仿宋" w:eastAsia="仿宋"/>
          <w:szCs w:val="21"/>
        </w:rPr>
        <w:t>。</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（二）根据业务清算需要在境内、外自由选择清算代理行，开立相应的清算账户</w:t>
      </w:r>
      <w:r>
        <w:rPr>
          <w:rFonts w:hint="eastAsia" w:ascii="仿宋" w:hAnsi="仿宋" w:eastAsia="仿宋"/>
          <w:szCs w:val="21"/>
        </w:rPr>
        <w:t>。</w:t>
      </w:r>
      <w:r>
        <w:rPr>
          <w:rFonts w:ascii="仿宋" w:hAnsi="仿宋" w:eastAsia="仿宋"/>
          <w:szCs w:val="21"/>
        </w:rPr>
        <w:t>各清算账户之间可自由进行资金划拨。</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（三）按相关规定报送对外金融资产负及交易统计数据后，可以将从境外发卡机构收取的清算资金与向境外收单机构支付的清算资金轧差清算。</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（四）根据业务清算需要，可提前购买备付金汇往境外清算代理行账户，用于满足国内长假期间对境外机构的资金清算等需要</w:t>
      </w:r>
      <w:r>
        <w:rPr>
          <w:rFonts w:hint="eastAsia" w:ascii="仿宋" w:hAnsi="仿宋" w:eastAsia="仿宋"/>
          <w:szCs w:val="21"/>
        </w:rPr>
        <w:t>。</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（五）将清算、结售汇业务涉及的相关业务凭证保留5年以上备查。</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三、银联国际在银联人民币卡境外使用时，应履行提现限额设置和和商户类别码管理的义务。</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四、银联国际应在每季度初的10个工作日内报送上季度银联人民币卡境外使用情况分析报告。报告内容应包括但不限于：消费和提现的总体情况、大额提现情况、大额消费情况，并区分境外受理国家或地区、境内发卡机构进行分析；境内外账户开立、使用及资金余额情况。</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五、你公司向银联国际进行业务迁移的过渡期内，可与银联国际同时保持在境内、境外清算代理行的外币清算账户，并与银联國际在同一家清算代理行内进行同币种账户的资金划转。你公司向银联国际业务迁移完成后，应及时关闭你公司相应外币账户，并将情况报告国家外汇管理局</w:t>
      </w:r>
      <w:r>
        <w:rPr>
          <w:rFonts w:hint="eastAsia" w:ascii="仿宋" w:hAnsi="仿宋" w:eastAsia="仿宋"/>
          <w:szCs w:val="21"/>
        </w:rPr>
        <w:t>。</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此复。</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jc w:val="right"/>
        <w:rPr>
          <w:rFonts w:hint="eastAsia" w:ascii="仿宋" w:hAnsi="仿宋" w:eastAsia="仿宋"/>
          <w:szCs w:val="21"/>
        </w:rPr>
      </w:pPr>
      <w:r>
        <w:rPr>
          <w:rFonts w:ascii="仿宋" w:hAnsi="仿宋" w:eastAsia="仿宋"/>
          <w:szCs w:val="21"/>
        </w:rPr>
        <w:t>国家外汇管理局</w:t>
      </w:r>
    </w:p>
    <w:p>
      <w:pPr>
        <w:adjustRightInd w:val="0"/>
        <w:snapToGrid w:val="0"/>
        <w:spacing w:line="312" w:lineRule="auto"/>
        <w:ind w:firstLine="420" w:firstLineChars="200"/>
        <w:jc w:val="right"/>
        <w:rPr>
          <w:rFonts w:hint="eastAsia" w:ascii="仿宋" w:hAnsi="仿宋" w:eastAsia="仿宋"/>
          <w:szCs w:val="21"/>
        </w:rPr>
      </w:pPr>
      <w:r>
        <w:rPr>
          <w:rFonts w:ascii="仿宋" w:hAnsi="仿宋" w:eastAsia="仿宋"/>
          <w:szCs w:val="21"/>
        </w:rPr>
        <w:t>2013年6月3日</w:t>
      </w:r>
    </w:p>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