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4"/>
        <w:adjustRightInd w:val="0"/>
        <w:snapToGrid w:val="0"/>
        <w:spacing w:before="0" w:after="0" w:line="240" w:lineRule="auto"/>
        <w:jc w:val="center"/>
        <w:rPr>
          <w:rFonts w:hint="eastAsia" w:ascii="仿宋" w:hAnsi="仿宋" w:eastAsia="仿宋"/>
          <w:sz w:val="21"/>
          <w:szCs w:val="21"/>
        </w:rPr>
      </w:pPr>
      <w:bookmarkStart w:id="1510" w:name="_Toc15940"/>
      <w:bookmarkStart w:id="1511" w:name="_Toc520919902"/>
      <w:bookmarkStart w:id="1512" w:name="_Toc520919613"/>
      <w:bookmarkStart w:id="1513" w:name="_Toc33532926"/>
      <w:r>
        <w:rPr>
          <w:rFonts w:hint="eastAsia" w:ascii="仿宋" w:hAnsi="仿宋" w:eastAsia="仿宋"/>
          <w:sz w:val="21"/>
          <w:szCs w:val="21"/>
        </w:rPr>
        <w:t>168  对国家外汇管理局关于提请解释《外汇管理条例》法律责任有关条款的复函</w:t>
      </w:r>
      <w:r>
        <w:rPr>
          <w:rFonts w:ascii="仿宋" w:hAnsi="仿宋" w:eastAsia="仿宋"/>
          <w:sz w:val="21"/>
          <w:szCs w:val="21"/>
        </w:rPr>
        <w:br w:type="textWrapping"/>
      </w:r>
      <w:r>
        <w:rPr>
          <w:rFonts w:hint="eastAsia" w:ascii="仿宋" w:hAnsi="仿宋" w:eastAsia="仿宋"/>
          <w:sz w:val="21"/>
          <w:szCs w:val="21"/>
        </w:rPr>
        <w:t>国法函〔2012〕219号</w:t>
      </w:r>
      <w:bookmarkEnd w:id="1510"/>
      <w:bookmarkEnd w:id="1511"/>
      <w:bookmarkEnd w:id="1512"/>
      <w:bookmarkEnd w:id="1513"/>
    </w:p>
    <w:p>
      <w:pPr>
        <w:adjustRightInd w:val="0"/>
        <w:snapToGrid w:val="0"/>
        <w:spacing w:line="312" w:lineRule="auto"/>
        <w:rPr>
          <w:rFonts w:hint="eastAsia"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国家外汇管理局：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你局《关于请就执行＜外汇管理条例＞法律责任有关条款进行解释的函》（汇函〔2012〕7号）收悉。经研究，现函复如下：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同意你局对《外汇管理条例》第三十九条规定的“等逃汇行为”包括违反规定擅自将外汇存放境外的行为，第四十条规定的“等非法套汇行为”包括违反规定以人民币收付应当以外汇收付款项的行为的理解。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  <w:szCs w:val="21"/>
        </w:rPr>
      </w:pP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  <w:szCs w:val="21"/>
        </w:rPr>
      </w:pPr>
    </w:p>
    <w:p>
      <w:pPr>
        <w:adjustRightInd w:val="0"/>
        <w:snapToGrid w:val="0"/>
        <w:spacing w:line="312" w:lineRule="auto"/>
        <w:jc w:val="right"/>
        <w:rPr>
          <w:rFonts w:hint="eastAsia"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二○一二年七月四日</w:t>
      </w:r>
    </w:p>
    <w:p>
      <w:pPr>
        <w:rPr>
          <w:rFonts w:hint="eastAsia" w:ascii="仿宋" w:hAnsi="仿宋" w:eastAsia="仿宋"/>
          <w:szCs w:val="21"/>
        </w:rPr>
      </w:pPr>
    </w:p>
    <w:p>
      <w:pPr>
        <w:rPr>
          <w:rFonts w:hint="eastAsia" w:ascii="仿宋" w:hAnsi="仿宋" w:eastAsia="仿宋"/>
          <w:szCs w:val="21"/>
        </w:rPr>
      </w:pP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