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134" w:name="_Toc14582"/>
      <w:bookmarkStart w:id="135" w:name="_Toc33532593"/>
      <w:bookmarkStart w:id="136" w:name="_Toc520919698"/>
      <w:bookmarkStart w:id="137" w:name="_Toc520919409"/>
      <w:r>
        <w:rPr>
          <w:rFonts w:hint="eastAsia" w:ascii="仿宋" w:hAnsi="仿宋" w:eastAsia="仿宋"/>
          <w:sz w:val="21"/>
          <w:szCs w:val="21"/>
        </w:rPr>
        <w:t>20</w:t>
      </w:r>
      <w:r>
        <w:rPr>
          <w:rFonts w:ascii="仿宋" w:hAnsi="仿宋" w:eastAsia="仿宋"/>
          <w:sz w:val="21"/>
          <w:szCs w:val="21"/>
        </w:rPr>
        <w:t xml:space="preserve">  </w:t>
      </w:r>
      <w:r>
        <w:rPr>
          <w:rFonts w:hint="eastAsia" w:ascii="仿宋" w:hAnsi="仿宋" w:eastAsia="仿宋"/>
          <w:sz w:val="21"/>
          <w:szCs w:val="21"/>
        </w:rPr>
        <w:t xml:space="preserve">国家外汇管理局 </w:t>
      </w:r>
      <w:r>
        <w:rPr>
          <w:rFonts w:ascii="仿宋" w:hAnsi="仿宋" w:eastAsia="仿宋"/>
          <w:sz w:val="21"/>
          <w:szCs w:val="21"/>
        </w:rPr>
        <w:t>海关总署关于印发《调运外币现钞进出境管理规定》的通知</w:t>
      </w:r>
      <w:r>
        <w:rPr>
          <w:rFonts w:ascii="仿宋" w:hAnsi="仿宋" w:eastAsia="仿宋"/>
          <w:sz w:val="21"/>
          <w:szCs w:val="21"/>
        </w:rPr>
        <w:br w:type="textWrapping"/>
      </w:r>
      <w:r>
        <w:rPr>
          <w:rFonts w:hint="eastAsia" w:ascii="仿宋" w:hAnsi="仿宋" w:eastAsia="仿宋"/>
          <w:sz w:val="21"/>
          <w:szCs w:val="21"/>
        </w:rPr>
        <w:t>（汇发〔</w:t>
      </w:r>
      <w:r>
        <w:rPr>
          <w:rFonts w:ascii="仿宋" w:hAnsi="仿宋" w:eastAsia="仿宋"/>
          <w:sz w:val="21"/>
          <w:szCs w:val="21"/>
        </w:rPr>
        <w:t>2019〕16号</w:t>
      </w:r>
      <w:r>
        <w:rPr>
          <w:rFonts w:hint="eastAsia" w:ascii="仿宋" w:hAnsi="仿宋" w:eastAsia="仿宋"/>
          <w:sz w:val="21"/>
          <w:szCs w:val="21"/>
        </w:rPr>
        <w:t>）</w:t>
      </w:r>
      <w:bookmarkEnd w:id="134"/>
      <w:bookmarkEnd w:id="135"/>
    </w:p>
    <w:p>
      <w:pPr>
        <w:adjustRightInd w:val="0"/>
        <w:snapToGrid w:val="0"/>
        <w:spacing w:line="312" w:lineRule="auto"/>
        <w:rPr>
          <w:rFonts w:hint="eastAsia" w:ascii="仿宋" w:hAnsi="仿宋" w:eastAsia="仿宋"/>
        </w:rPr>
      </w:pPr>
      <w:r>
        <w:rPr>
          <w:rFonts w:hint="eastAsia" w:ascii="仿宋" w:hAnsi="仿宋" w:eastAsia="仿宋"/>
        </w:rPr>
        <w:t>国家外汇管理局各省、自治区、直辖市分局、外汇管理部，深圳、大连、青岛、厦门、宁波市分局；海关总署广东分署、各直属海关；各全国性中资银行：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为贯彻落实国务院《优化口岸营商环境促进跨境贸易便利化工作方案》（国发〔</w:t>
      </w:r>
      <w:r>
        <w:rPr>
          <w:rFonts w:ascii="仿宋" w:hAnsi="仿宋" w:eastAsia="仿宋"/>
        </w:rPr>
        <w:t>2018〕37号印发），创新监管方式，提高通关效率，国家外汇管理局会同海关总署联合制定了《调运外币现钞进出境管理规定》（以下简称《规定》，见附件），现印发你们，并就有关事项通知如下：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自本通知生效之日起，由国家外汇管理局印制并签章的《调运外币现钞进出境证明文件》失效。取得调运外币现钞进出境资格的境内商业银行、个人本外币兑换特许业务经营机构以及上述机构委托的报关企业，在海关部门办理调运外币现钞进出境相关手续时，无需再提供《调运外币现钞进出境证明文件》。填报进出口货物报关单时，应在“消费使用单位</w:t>
      </w:r>
      <w:r>
        <w:rPr>
          <w:rFonts w:ascii="仿宋" w:hAnsi="仿宋" w:eastAsia="仿宋"/>
        </w:rPr>
        <w:t>/生产销售单位”栏目内准确填写银行或兑换特许机构名称，在“商品编号”栏目内填写“9801309000”（流通中的外币现钞，包括纸币及硬币）。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二、国家外汇管理局各分局、外汇管理部（以下简称各外汇分局）应于</w:t>
      </w:r>
      <w:r>
        <w:rPr>
          <w:rFonts w:ascii="仿宋" w:hAnsi="仿宋" w:eastAsia="仿宋"/>
        </w:rPr>
        <w:t>2019年9月30日前将辖内银行、个人本外币兑换特许业务经营机构已申领未使用的《调运外币现钞进出境证明文件》统一回收销毁，并将相关情况报国家外汇管理局国际收支司备案。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三、本通知生效前已获得调运外币现钞进出境业务资格的境内商业银行分支机构，拟继续办理业务的，应自本通知生效之日起</w:t>
      </w:r>
      <w:r>
        <w:rPr>
          <w:rFonts w:ascii="仿宋" w:hAnsi="仿宋" w:eastAsia="仿宋"/>
        </w:rPr>
        <w:t>3个月内按照《规定》有关要求由其总行向所在地外汇分局备案，原业务资格自备案之日起30个工作日后失效。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各外汇分局接到本通知后，应立即转发辖内中心支局、支局、城市商业银行、农村商业银行、外商独资银行、中外合资银行、外国银行分行及农村合作金融机构、个人本外币兑换特许业务调运外币现钞进出境管理规定经营机构，准确传导政策要求，做好《规定》实施的各项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五、各全国性中资银行接到本通知后，应尽快转发所辖分支机构。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六、本通知自</w:t>
      </w:r>
      <w:r>
        <w:rPr>
          <w:rFonts w:ascii="仿宋" w:hAnsi="仿宋" w:eastAsia="仿宋"/>
        </w:rPr>
        <w:t>2019年6月1日起生效，《国家外汇管理局</w:t>
      </w:r>
      <w:r>
        <w:rPr>
          <w:rFonts w:hint="eastAsia" w:ascii="仿宋" w:hAnsi="仿宋" w:eastAsia="仿宋"/>
        </w:rPr>
        <w:t xml:space="preserve"> </w:t>
      </w:r>
      <w:r>
        <w:rPr>
          <w:rFonts w:ascii="仿宋" w:hAnsi="仿宋" w:eastAsia="仿宋"/>
        </w:rPr>
        <w:t>海关总署关于印发&lt;银行调运外币现钞进出境管理规定&gt;的通知》（汇发〔2014〕24号）同时废止。执行中如遇问题，请及时与国家外汇管理局和海关总署联系。</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国家外汇管理局联系电话：</w:t>
      </w:r>
      <w:r>
        <w:rPr>
          <w:rFonts w:ascii="仿宋" w:hAnsi="仿宋" w:eastAsia="仿宋"/>
        </w:rPr>
        <w:t>010-68402514、68402654</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海关总署联系电话：</w:t>
      </w:r>
      <w:r>
        <w:rPr>
          <w:rFonts w:ascii="仿宋" w:hAnsi="仿宋" w:eastAsia="仿宋"/>
        </w:rPr>
        <w:t>12360</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特此通知。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件：调运外币现钞进出境管理规定</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国家外汇管理局</w:t>
      </w:r>
      <w:r>
        <w:rPr>
          <w:rFonts w:ascii="仿宋" w:hAnsi="仿宋" w:eastAsia="仿宋"/>
        </w:rPr>
        <w:t xml:space="preserve"> 海关总署</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2019年5月28日</w:t>
      </w:r>
    </w:p>
    <w:p>
      <w:pPr>
        <w:widowControl/>
        <w:jc w:val="left"/>
        <w:rPr>
          <w:rFonts w:hint="eastAsia" w:ascii="仿宋" w:hAnsi="仿宋" w:eastAsia="仿宋"/>
        </w:rPr>
      </w:pPr>
      <w:r>
        <w:rPr>
          <w:rFonts w:ascii="仿宋" w:hAnsi="仿宋" w:eastAsia="仿宋"/>
        </w:rPr>
        <w:br w:type="page"/>
      </w:r>
    </w:p>
    <w:p>
      <w:pPr>
        <w:wordWrap w:val="0"/>
        <w:spacing w:line="360" w:lineRule="auto"/>
        <w:jc w:val="right"/>
        <w:rPr>
          <w:rFonts w:hint="eastAsia" w:ascii="仿宋" w:hAnsi="仿宋" w:eastAsia="仿宋" w:cs="Times New Roman"/>
          <w:szCs w:val="21"/>
        </w:rPr>
      </w:pPr>
    </w:p>
    <w:p>
      <w:pPr>
        <w:spacing w:line="360" w:lineRule="auto"/>
        <w:jc w:val="left"/>
        <w:rPr>
          <w:rFonts w:hint="eastAsia" w:ascii="仿宋" w:hAnsi="仿宋" w:eastAsia="仿宋" w:cs="Times New Roman"/>
          <w:szCs w:val="21"/>
        </w:rPr>
      </w:pPr>
      <w:r>
        <w:rPr>
          <w:rFonts w:hint="eastAsia" w:ascii="仿宋" w:hAnsi="仿宋" w:eastAsia="仿宋" w:cs="Times New Roman"/>
          <w:szCs w:val="21"/>
        </w:rPr>
        <w:t>附件</w:t>
      </w:r>
    </w:p>
    <w:p>
      <w:pPr>
        <w:spacing w:line="360" w:lineRule="auto"/>
        <w:jc w:val="center"/>
        <w:rPr>
          <w:rFonts w:hint="eastAsia" w:ascii="仿宋" w:hAnsi="仿宋" w:eastAsia="仿宋" w:cs="Times New Roman"/>
          <w:b/>
          <w:szCs w:val="21"/>
        </w:rPr>
      </w:pPr>
      <w:r>
        <w:rPr>
          <w:rFonts w:hint="eastAsia" w:ascii="仿宋" w:hAnsi="仿宋" w:eastAsia="仿宋" w:cs="Times New Roman"/>
          <w:b/>
          <w:szCs w:val="21"/>
        </w:rPr>
        <w:t>调运外币现钞进出境管理规定</w:t>
      </w:r>
    </w:p>
    <w:p>
      <w:pPr>
        <w:adjustRightInd w:val="0"/>
        <w:snapToGrid w:val="0"/>
        <w:spacing w:line="312" w:lineRule="auto"/>
        <w:ind w:firstLine="422" w:firstLineChars="200"/>
        <w:rPr>
          <w:rFonts w:hint="eastAsia" w:ascii="仿宋" w:hAnsi="仿宋" w:eastAsia="仿宋" w:cs="Times New Roman"/>
          <w:szCs w:val="21"/>
        </w:rPr>
      </w:pPr>
      <w:r>
        <w:rPr>
          <w:rFonts w:hint="eastAsia" w:ascii="仿宋" w:hAnsi="仿宋" w:eastAsia="仿宋" w:cs="Times New Roman"/>
          <w:b/>
          <w:szCs w:val="21"/>
        </w:rPr>
        <w:t xml:space="preserve">第一条  </w:t>
      </w:r>
      <w:r>
        <w:rPr>
          <w:rFonts w:hint="eastAsia" w:ascii="仿宋" w:hAnsi="仿宋" w:eastAsia="仿宋" w:cs="Times New Roman"/>
          <w:szCs w:val="21"/>
        </w:rPr>
        <w:t>为规范境内商业银行、个人本外币兑换特许业务经营机构（以下简称兑换特许机构）调运外币现钞进出境业务管理，根据《中华人民共和国海关法》《中华人民共和国外汇管理条例》，制订本规定。</w:t>
      </w:r>
    </w:p>
    <w:p>
      <w:pPr>
        <w:adjustRightInd w:val="0"/>
        <w:snapToGrid w:val="0"/>
        <w:spacing w:line="312" w:lineRule="auto"/>
        <w:ind w:firstLine="422" w:firstLineChars="200"/>
        <w:rPr>
          <w:rFonts w:hint="eastAsia" w:ascii="仿宋" w:hAnsi="仿宋" w:eastAsia="仿宋" w:cs="Times New Roman"/>
          <w:szCs w:val="21"/>
        </w:rPr>
      </w:pPr>
      <w:r>
        <w:rPr>
          <w:rFonts w:hint="eastAsia" w:ascii="仿宋" w:hAnsi="仿宋" w:eastAsia="仿宋" w:cs="Times New Roman"/>
          <w:b/>
          <w:szCs w:val="21"/>
        </w:rPr>
        <w:t xml:space="preserve">第二条  </w:t>
      </w:r>
      <w:r>
        <w:rPr>
          <w:rFonts w:hint="eastAsia" w:ascii="仿宋" w:hAnsi="仿宋" w:eastAsia="仿宋" w:cs="Times New Roman"/>
          <w:szCs w:val="21"/>
        </w:rPr>
        <w:t>国家外汇管理局及其分支局（以下简称外汇局）、海关总署及其直属海关为调运外币现钞进出境业务的管理机关。</w:t>
      </w:r>
    </w:p>
    <w:p>
      <w:pPr>
        <w:adjustRightInd w:val="0"/>
        <w:snapToGrid w:val="0"/>
        <w:spacing w:line="312" w:lineRule="auto"/>
        <w:ind w:firstLine="422" w:firstLineChars="200"/>
        <w:rPr>
          <w:rFonts w:hint="eastAsia" w:ascii="仿宋" w:hAnsi="仿宋" w:eastAsia="仿宋" w:cs="Times New Roman"/>
          <w:szCs w:val="21"/>
        </w:rPr>
      </w:pPr>
      <w:r>
        <w:rPr>
          <w:rFonts w:hint="eastAsia" w:ascii="仿宋" w:hAnsi="仿宋" w:eastAsia="仿宋" w:cs="Times New Roman"/>
          <w:b/>
          <w:szCs w:val="21"/>
        </w:rPr>
        <w:t xml:space="preserve">第三条  </w:t>
      </w:r>
      <w:r>
        <w:rPr>
          <w:rFonts w:hint="eastAsia" w:ascii="仿宋" w:hAnsi="仿宋" w:eastAsia="仿宋" w:cs="Times New Roman"/>
          <w:szCs w:val="21"/>
        </w:rPr>
        <w:t>境内商业银行、兑换特许机构因存取、汇兑及现钞批发业务需要将外币现钞（包括纸币及硬币，下同）调往其他国家（地区）或从其他国家（地区）调入的，适用本规定。</w:t>
      </w:r>
    </w:p>
    <w:p>
      <w:pPr>
        <w:adjustRightInd w:val="0"/>
        <w:snapToGrid w:val="0"/>
        <w:spacing w:line="312" w:lineRule="auto"/>
        <w:ind w:firstLine="420" w:firstLineChars="200"/>
        <w:rPr>
          <w:rFonts w:hint="eastAsia" w:ascii="仿宋" w:hAnsi="仿宋" w:eastAsia="仿宋" w:cs="Times New Roman"/>
          <w:szCs w:val="21"/>
        </w:rPr>
      </w:pPr>
      <w:r>
        <w:rPr>
          <w:rFonts w:hint="eastAsia" w:ascii="仿宋" w:hAnsi="仿宋" w:eastAsia="仿宋" w:cs="Times New Roman"/>
          <w:szCs w:val="21"/>
        </w:rPr>
        <w:t>境内机构将外币现钞用作纪念币等非存取、汇兑及现钞批发业务之外用途的，不适用本规定。</w:t>
      </w:r>
    </w:p>
    <w:p>
      <w:pPr>
        <w:adjustRightInd w:val="0"/>
        <w:snapToGrid w:val="0"/>
        <w:spacing w:line="312" w:lineRule="auto"/>
        <w:ind w:firstLine="422" w:firstLineChars="200"/>
        <w:rPr>
          <w:rFonts w:hint="eastAsia" w:ascii="仿宋" w:hAnsi="仿宋" w:eastAsia="仿宋" w:cs="Times New Roman"/>
          <w:szCs w:val="21"/>
        </w:rPr>
      </w:pPr>
      <w:r>
        <w:rPr>
          <w:rFonts w:hint="eastAsia" w:ascii="仿宋" w:hAnsi="仿宋" w:eastAsia="仿宋" w:cs="Times New Roman"/>
          <w:b/>
          <w:szCs w:val="21"/>
        </w:rPr>
        <w:t xml:space="preserve">第四条  </w:t>
      </w:r>
      <w:r>
        <w:rPr>
          <w:rFonts w:hint="eastAsia" w:ascii="仿宋" w:hAnsi="仿宋" w:eastAsia="仿宋" w:cs="Times New Roman"/>
          <w:szCs w:val="21"/>
        </w:rPr>
        <w:t>境内商业银行办理调运外币现钞进出境业务实行备案制。首次开办业务前，由境内商业银行总行（外国银行分行视同总行，下同）向所在地国家外汇管理局分局或外汇管理部（以下简称外汇分局）提交《银行办理调运外币现钞进出境业务备案表》（见附表1）一式两份及有关材料进行备案。备案材料包括：</w:t>
      </w:r>
    </w:p>
    <w:p>
      <w:pPr>
        <w:adjustRightInd w:val="0"/>
        <w:snapToGrid w:val="0"/>
        <w:spacing w:line="312" w:lineRule="auto"/>
        <w:ind w:firstLine="420" w:firstLineChars="200"/>
        <w:rPr>
          <w:rFonts w:hint="eastAsia" w:ascii="仿宋" w:hAnsi="仿宋" w:eastAsia="仿宋" w:cs="Times New Roman"/>
          <w:szCs w:val="21"/>
        </w:rPr>
      </w:pPr>
      <w:r>
        <w:rPr>
          <w:rFonts w:hint="eastAsia" w:ascii="仿宋" w:hAnsi="仿宋" w:eastAsia="仿宋" w:cs="Times New Roman"/>
          <w:szCs w:val="21"/>
        </w:rPr>
        <w:t>（一）可行性报告和业务计划书。</w:t>
      </w:r>
    </w:p>
    <w:p>
      <w:pPr>
        <w:adjustRightInd w:val="0"/>
        <w:snapToGrid w:val="0"/>
        <w:spacing w:line="312" w:lineRule="auto"/>
        <w:ind w:firstLine="420" w:firstLineChars="200"/>
        <w:rPr>
          <w:rFonts w:hint="eastAsia" w:ascii="仿宋" w:hAnsi="仿宋" w:eastAsia="仿宋" w:cs="Times New Roman"/>
          <w:szCs w:val="21"/>
        </w:rPr>
      </w:pPr>
      <w:r>
        <w:rPr>
          <w:rFonts w:hint="eastAsia" w:ascii="仿宋" w:hAnsi="仿宋" w:eastAsia="仿宋" w:cs="Times New Roman"/>
          <w:szCs w:val="21"/>
        </w:rPr>
        <w:t xml:space="preserve">（二）调运外币现钞进出境业务管理制度。 </w:t>
      </w:r>
    </w:p>
    <w:p>
      <w:pPr>
        <w:adjustRightInd w:val="0"/>
        <w:snapToGrid w:val="0"/>
        <w:spacing w:line="312" w:lineRule="auto"/>
        <w:ind w:firstLine="422" w:firstLineChars="200"/>
        <w:rPr>
          <w:rFonts w:hint="eastAsia" w:ascii="仿宋" w:hAnsi="仿宋" w:eastAsia="仿宋" w:cs="Times New Roman"/>
          <w:szCs w:val="21"/>
        </w:rPr>
      </w:pPr>
      <w:r>
        <w:rPr>
          <w:rFonts w:hint="eastAsia" w:ascii="仿宋" w:hAnsi="仿宋" w:eastAsia="仿宋" w:cs="Times New Roman"/>
          <w:b/>
          <w:szCs w:val="21"/>
        </w:rPr>
        <w:t xml:space="preserve">第五条  </w:t>
      </w:r>
      <w:r>
        <w:rPr>
          <w:rFonts w:hint="eastAsia" w:ascii="仿宋" w:hAnsi="仿宋" w:eastAsia="仿宋" w:cs="Times New Roman"/>
          <w:szCs w:val="21"/>
        </w:rPr>
        <w:t>外汇分局收到境内商业银行总行内容齐全的备案材料后，在其提交的《银行办理调运外币现钞进出境业务备案表》上加盖签章予以确认，并将其中一份备案表退还申请银行留存。</w:t>
      </w:r>
    </w:p>
    <w:p>
      <w:pPr>
        <w:adjustRightInd w:val="0"/>
        <w:snapToGrid w:val="0"/>
        <w:spacing w:line="312" w:lineRule="auto"/>
        <w:ind w:firstLine="422" w:firstLineChars="200"/>
        <w:rPr>
          <w:rFonts w:hint="eastAsia" w:ascii="仿宋" w:hAnsi="仿宋" w:eastAsia="仿宋" w:cs="Times New Roman"/>
          <w:szCs w:val="21"/>
        </w:rPr>
      </w:pPr>
      <w:r>
        <w:rPr>
          <w:rFonts w:hint="eastAsia" w:ascii="仿宋" w:hAnsi="仿宋" w:eastAsia="仿宋" w:cs="Times New Roman"/>
          <w:b/>
          <w:szCs w:val="21"/>
        </w:rPr>
        <w:t xml:space="preserve">第六条  </w:t>
      </w:r>
      <w:r>
        <w:rPr>
          <w:rFonts w:hint="eastAsia" w:ascii="仿宋" w:hAnsi="仿宋" w:eastAsia="仿宋" w:cs="Times New Roman"/>
          <w:szCs w:val="21"/>
        </w:rPr>
        <w:t>外汇分局应自申请银行备案之日起10个工作日内将备案银行情况书面通知当地直属海关，同时抄送国家外汇管理局及辖内中心支局、支局；当地直属海关收到外汇分局通知后，应在10个工作日内转报海关总署。</w:t>
      </w:r>
    </w:p>
    <w:p>
      <w:pPr>
        <w:adjustRightInd w:val="0"/>
        <w:snapToGrid w:val="0"/>
        <w:spacing w:line="312" w:lineRule="auto"/>
        <w:ind w:firstLine="422" w:firstLineChars="200"/>
        <w:rPr>
          <w:rFonts w:hint="eastAsia" w:ascii="仿宋" w:hAnsi="仿宋" w:eastAsia="仿宋" w:cs="Times New Roman"/>
          <w:szCs w:val="21"/>
        </w:rPr>
      </w:pPr>
      <w:r>
        <w:rPr>
          <w:rFonts w:hint="eastAsia" w:ascii="仿宋" w:hAnsi="仿宋" w:eastAsia="仿宋" w:cs="Times New Roman"/>
          <w:b/>
          <w:szCs w:val="21"/>
        </w:rPr>
        <w:t xml:space="preserve">第七条  </w:t>
      </w:r>
      <w:r>
        <w:rPr>
          <w:rFonts w:hint="eastAsia" w:ascii="仿宋" w:hAnsi="仿宋" w:eastAsia="仿宋" w:cs="Times New Roman"/>
          <w:szCs w:val="21"/>
        </w:rPr>
        <w:t>已获得调运外币现钞进出境业务资格的境内商业银行停办调运外币现钞进出境业务，应当自停办业务之日前30个工作日由其总行向所在地外汇分局提交《银行停办调运外币现钞进出境业务备案表》（见附表2）履行停办备案手续。外汇分局按照第六条  程序分别通知有关部门。</w:t>
      </w:r>
    </w:p>
    <w:p>
      <w:pPr>
        <w:adjustRightInd w:val="0"/>
        <w:snapToGrid w:val="0"/>
        <w:spacing w:line="312" w:lineRule="auto"/>
        <w:ind w:firstLine="422" w:firstLineChars="200"/>
        <w:rPr>
          <w:rFonts w:hint="eastAsia" w:ascii="仿宋" w:hAnsi="仿宋" w:eastAsia="仿宋" w:cs="Times New Roman"/>
          <w:szCs w:val="21"/>
        </w:rPr>
      </w:pPr>
      <w:r>
        <w:rPr>
          <w:rFonts w:hint="eastAsia" w:ascii="仿宋" w:hAnsi="仿宋" w:eastAsia="仿宋" w:cs="Times New Roman"/>
          <w:b/>
          <w:szCs w:val="21"/>
        </w:rPr>
        <w:t xml:space="preserve">第八条  </w:t>
      </w:r>
      <w:r>
        <w:rPr>
          <w:rFonts w:hint="eastAsia" w:ascii="仿宋" w:hAnsi="仿宋" w:eastAsia="仿宋" w:cs="Times New Roman"/>
          <w:szCs w:val="21"/>
        </w:rPr>
        <w:t>兑换特许机构办理调运外币现钞进出境业务实行审批制，具体程序及要求按照个人本外币兑换特许业务相关规定办理。</w:t>
      </w:r>
    </w:p>
    <w:p>
      <w:pPr>
        <w:adjustRightInd w:val="0"/>
        <w:snapToGrid w:val="0"/>
        <w:spacing w:line="312" w:lineRule="auto"/>
        <w:ind w:firstLine="420" w:firstLineChars="200"/>
        <w:rPr>
          <w:rFonts w:hint="eastAsia" w:ascii="仿宋" w:hAnsi="仿宋" w:eastAsia="仿宋" w:cs="Times New Roman"/>
          <w:szCs w:val="21"/>
        </w:rPr>
      </w:pPr>
      <w:r>
        <w:rPr>
          <w:rFonts w:hint="eastAsia" w:ascii="仿宋" w:hAnsi="仿宋" w:eastAsia="仿宋" w:cs="Times New Roman"/>
          <w:szCs w:val="21"/>
        </w:rPr>
        <w:t>国家外汇管理局批准兑换特许机构调运外币现钞进出境业务资格后，应在20个工作日内书面通知海关总署。</w:t>
      </w:r>
    </w:p>
    <w:p>
      <w:pPr>
        <w:adjustRightInd w:val="0"/>
        <w:snapToGrid w:val="0"/>
        <w:spacing w:line="312" w:lineRule="auto"/>
        <w:ind w:firstLine="422" w:firstLineChars="200"/>
        <w:rPr>
          <w:rFonts w:hint="eastAsia" w:ascii="仿宋" w:hAnsi="仿宋" w:eastAsia="仿宋" w:cs="Times New Roman"/>
          <w:szCs w:val="21"/>
        </w:rPr>
      </w:pPr>
      <w:r>
        <w:rPr>
          <w:rFonts w:hint="eastAsia" w:ascii="仿宋" w:hAnsi="仿宋" w:eastAsia="仿宋" w:cs="Times New Roman"/>
          <w:b/>
          <w:szCs w:val="21"/>
        </w:rPr>
        <w:t xml:space="preserve">第九条  </w:t>
      </w:r>
      <w:r>
        <w:rPr>
          <w:rFonts w:hint="eastAsia" w:ascii="仿宋" w:hAnsi="仿宋" w:eastAsia="仿宋" w:cs="Times New Roman"/>
          <w:szCs w:val="21"/>
        </w:rPr>
        <w:t>境内商业银行、兑换特许机构分别按规定向所在地外汇分局提交备案材料或取得调运外币现钞进出境业务资格后30个工作日后，可根据经营需要自行选择境内海关口岸办理调运外币现钞进出境业务。</w:t>
      </w:r>
    </w:p>
    <w:p>
      <w:pPr>
        <w:adjustRightInd w:val="0"/>
        <w:snapToGrid w:val="0"/>
        <w:spacing w:line="312" w:lineRule="auto"/>
        <w:ind w:firstLine="422" w:firstLineChars="200"/>
        <w:rPr>
          <w:rFonts w:hint="eastAsia" w:ascii="仿宋" w:hAnsi="仿宋" w:eastAsia="仿宋" w:cs="Times New Roman"/>
          <w:szCs w:val="21"/>
        </w:rPr>
      </w:pPr>
      <w:r>
        <w:rPr>
          <w:rFonts w:hint="eastAsia" w:ascii="仿宋" w:hAnsi="仿宋" w:eastAsia="仿宋" w:cs="Times New Roman"/>
          <w:b/>
          <w:szCs w:val="21"/>
        </w:rPr>
        <w:t xml:space="preserve">第十条  </w:t>
      </w:r>
      <w:r>
        <w:rPr>
          <w:rFonts w:hint="eastAsia" w:ascii="仿宋" w:hAnsi="仿宋" w:eastAsia="仿宋" w:cs="Times New Roman"/>
          <w:szCs w:val="21"/>
        </w:rPr>
        <w:t>开办调运外币现钞进出境业务的境内商业银行、兑换特许机构应于每季后10个工作日内，由其总行（总部）通过国家外汇管理局应用服务平台向所在地外汇局报送上季度《调运外币现钞进出境统计表》（见附表3）。</w:t>
      </w:r>
    </w:p>
    <w:p>
      <w:pPr>
        <w:adjustRightInd w:val="0"/>
        <w:snapToGrid w:val="0"/>
        <w:spacing w:line="312" w:lineRule="auto"/>
        <w:ind w:firstLine="422" w:firstLineChars="200"/>
        <w:rPr>
          <w:rFonts w:hint="eastAsia" w:ascii="仿宋" w:hAnsi="仿宋" w:eastAsia="仿宋" w:cs="Times New Roman"/>
          <w:szCs w:val="21"/>
        </w:rPr>
      </w:pPr>
      <w:r>
        <w:rPr>
          <w:rFonts w:hint="eastAsia" w:ascii="仿宋" w:hAnsi="仿宋" w:eastAsia="仿宋" w:cs="Times New Roman"/>
          <w:b/>
          <w:szCs w:val="21"/>
        </w:rPr>
        <w:t xml:space="preserve">第十一条  </w:t>
      </w:r>
      <w:r>
        <w:rPr>
          <w:rFonts w:hint="eastAsia" w:ascii="仿宋" w:hAnsi="仿宋" w:eastAsia="仿宋" w:cs="Times New Roman"/>
          <w:szCs w:val="21"/>
        </w:rPr>
        <w:t>国家外汇管理局、海关总署建立数据定期交换机制，于每年二季度将上一年度统计的调运外币现钞数据进行共享。</w:t>
      </w:r>
    </w:p>
    <w:p>
      <w:pPr>
        <w:adjustRightInd w:val="0"/>
        <w:snapToGrid w:val="0"/>
        <w:spacing w:line="312" w:lineRule="auto"/>
        <w:ind w:firstLine="422" w:firstLineChars="200"/>
        <w:rPr>
          <w:rFonts w:hint="eastAsia" w:ascii="仿宋" w:hAnsi="仿宋" w:eastAsia="仿宋" w:cs="Times New Roman"/>
          <w:szCs w:val="21"/>
        </w:rPr>
      </w:pPr>
      <w:r>
        <w:rPr>
          <w:rFonts w:hint="eastAsia" w:ascii="仿宋" w:hAnsi="仿宋" w:eastAsia="仿宋" w:cs="Times New Roman"/>
          <w:b/>
          <w:szCs w:val="21"/>
        </w:rPr>
        <w:t xml:space="preserve">第十二条  </w:t>
      </w:r>
      <w:r>
        <w:rPr>
          <w:rFonts w:hint="eastAsia" w:ascii="仿宋" w:hAnsi="仿宋" w:eastAsia="仿宋" w:cs="Times New Roman"/>
          <w:szCs w:val="21"/>
        </w:rPr>
        <w:t>境内商业银行、兑换特许机构违反本规定的，国家外汇管理局、海关总署将根据国家有关法律、法规进行处罚；构成犯罪的，依法追究刑事责任。</w:t>
      </w:r>
    </w:p>
    <w:p>
      <w:pPr>
        <w:adjustRightInd w:val="0"/>
        <w:snapToGrid w:val="0"/>
        <w:spacing w:line="312" w:lineRule="auto"/>
        <w:ind w:firstLine="422" w:firstLineChars="200"/>
        <w:rPr>
          <w:rFonts w:hint="eastAsia" w:ascii="仿宋" w:hAnsi="仿宋" w:eastAsia="仿宋" w:cs="Times New Roman"/>
          <w:szCs w:val="21"/>
        </w:rPr>
      </w:pPr>
      <w:r>
        <w:rPr>
          <w:rFonts w:hint="eastAsia" w:ascii="仿宋" w:hAnsi="仿宋" w:eastAsia="仿宋" w:cs="Times New Roman"/>
          <w:b/>
          <w:szCs w:val="21"/>
        </w:rPr>
        <w:t xml:space="preserve">第十三条  </w:t>
      </w:r>
      <w:r>
        <w:rPr>
          <w:rFonts w:hint="eastAsia" w:ascii="仿宋" w:hAnsi="仿宋" w:eastAsia="仿宋" w:cs="Times New Roman"/>
          <w:szCs w:val="21"/>
        </w:rPr>
        <w:t>本规定由国家外汇管理局、海关总署负责解释。</w:t>
      </w:r>
    </w:p>
    <w:p>
      <w:pPr>
        <w:widowControl/>
        <w:spacing w:line="312" w:lineRule="auto"/>
        <w:jc w:val="left"/>
        <w:rPr>
          <w:rFonts w:hint="eastAsia" w:ascii="仿宋" w:hAnsi="仿宋" w:eastAsia="仿宋" w:cs="Times New Roman"/>
          <w:szCs w:val="21"/>
        </w:rPr>
        <w:sectPr>
          <w:pgSz w:w="11906" w:h="16838"/>
          <w:pgMar w:top="1440" w:right="1800" w:bottom="1440" w:left="1800" w:header="851" w:footer="992" w:gutter="0"/>
          <w:cols w:space="720" w:num="1"/>
          <w:docGrid w:type="lines" w:linePitch="312" w:charSpace="0"/>
        </w:sectPr>
      </w:pPr>
    </w:p>
    <w:p>
      <w:pPr>
        <w:spacing w:line="360" w:lineRule="auto"/>
        <w:rPr>
          <w:rFonts w:hint="eastAsia" w:ascii="仿宋" w:hAnsi="仿宋" w:eastAsia="仿宋" w:cs="Times New Roman"/>
          <w:szCs w:val="21"/>
        </w:rPr>
      </w:pPr>
      <w:r>
        <w:rPr>
          <w:rFonts w:hint="eastAsia" w:ascii="仿宋" w:hAnsi="仿宋" w:eastAsia="仿宋" w:cs="Times New Roman"/>
          <w:szCs w:val="21"/>
        </w:rPr>
        <w:t>附表1</w:t>
      </w:r>
    </w:p>
    <w:p>
      <w:pPr>
        <w:spacing w:line="360" w:lineRule="auto"/>
        <w:rPr>
          <w:rFonts w:hint="eastAsia" w:ascii="仿宋" w:hAnsi="仿宋" w:eastAsia="仿宋" w:cs="Times New Roman"/>
          <w:szCs w:val="21"/>
        </w:rPr>
      </w:pPr>
    </w:p>
    <w:p>
      <w:pPr>
        <w:spacing w:after="312" w:afterLines="100"/>
        <w:jc w:val="center"/>
        <w:rPr>
          <w:rFonts w:hint="eastAsia" w:ascii="仿宋" w:hAnsi="仿宋" w:eastAsia="仿宋" w:cs="Times New Roman"/>
          <w:b/>
          <w:spacing w:val="-20"/>
          <w:szCs w:val="21"/>
        </w:rPr>
      </w:pPr>
      <w:r>
        <w:rPr>
          <w:rFonts w:hint="eastAsia" w:ascii="仿宋" w:hAnsi="仿宋" w:eastAsia="仿宋" w:cs="Times New Roman"/>
          <w:b/>
          <w:spacing w:val="-20"/>
          <w:szCs w:val="21"/>
        </w:rPr>
        <w:t>银行办理调运外币现钞进出境业务备案表</w:t>
      </w:r>
    </w:p>
    <w:tbl>
      <w:tblPr>
        <w:tblStyle w:val="58"/>
        <w:tblW w:w="8355" w:type="dxa"/>
        <w:tblInd w:w="0" w:type="dxa"/>
        <w:tblLayout w:type="fixed"/>
        <w:tblCellMar>
          <w:top w:w="0" w:type="dxa"/>
          <w:left w:w="108" w:type="dxa"/>
          <w:bottom w:w="0" w:type="dxa"/>
          <w:right w:w="108" w:type="dxa"/>
        </w:tblCellMar>
      </w:tblPr>
      <w:tblGrid>
        <w:gridCol w:w="1390"/>
        <w:gridCol w:w="1553"/>
        <w:gridCol w:w="1231"/>
        <w:gridCol w:w="1393"/>
        <w:gridCol w:w="1394"/>
        <w:gridCol w:w="1394"/>
      </w:tblGrid>
      <w:tr>
        <w:tblPrEx>
          <w:tblCellMar>
            <w:top w:w="0" w:type="dxa"/>
            <w:left w:w="108" w:type="dxa"/>
            <w:bottom w:w="0" w:type="dxa"/>
            <w:right w:w="108" w:type="dxa"/>
          </w:tblCellMar>
        </w:tblPrEx>
        <w:trPr>
          <w:trHeight w:val="489" w:hRule="atLeast"/>
        </w:trPr>
        <w:tc>
          <w:tcPr>
            <w:tcW w:w="139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160" w:line="360" w:lineRule="auto"/>
              <w:jc w:val="center"/>
              <w:rPr>
                <w:rFonts w:hint="eastAsia" w:ascii="仿宋" w:hAnsi="仿宋" w:eastAsia="仿宋" w:cs="Times New Roman"/>
                <w:szCs w:val="21"/>
              </w:rPr>
            </w:pPr>
            <w:r>
              <w:rPr>
                <w:rFonts w:hint="eastAsia" w:ascii="仿宋" w:hAnsi="仿宋" w:eastAsia="仿宋" w:cs="Times New Roman"/>
                <w:szCs w:val="21"/>
              </w:rPr>
              <w:t>备案银行</w:t>
            </w:r>
          </w:p>
        </w:tc>
        <w:tc>
          <w:tcPr>
            <w:tcW w:w="6965"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eastAsia" w:ascii="仿宋" w:hAnsi="仿宋" w:eastAsia="仿宋" w:cs="Times New Roman"/>
                <w:szCs w:val="21"/>
              </w:rPr>
            </w:pPr>
          </w:p>
        </w:tc>
      </w:tr>
      <w:tr>
        <w:tblPrEx>
          <w:tblCellMar>
            <w:top w:w="0" w:type="dxa"/>
            <w:left w:w="108" w:type="dxa"/>
            <w:bottom w:w="0" w:type="dxa"/>
            <w:right w:w="108" w:type="dxa"/>
          </w:tblCellMar>
        </w:tblPrEx>
        <w:trPr>
          <w:trHeight w:val="708" w:hRule="atLeast"/>
        </w:trPr>
        <w:tc>
          <w:tcPr>
            <w:tcW w:w="139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160" w:line="276" w:lineRule="auto"/>
              <w:jc w:val="center"/>
              <w:rPr>
                <w:rFonts w:hint="eastAsia" w:ascii="仿宋" w:hAnsi="仿宋" w:eastAsia="仿宋" w:cs="Times New Roman"/>
                <w:szCs w:val="21"/>
              </w:rPr>
            </w:pPr>
            <w:r>
              <w:rPr>
                <w:rFonts w:hint="eastAsia" w:ascii="仿宋" w:hAnsi="仿宋" w:eastAsia="仿宋" w:cs="Times New Roman"/>
                <w:szCs w:val="21"/>
              </w:rPr>
              <w:t>统一社会</w:t>
            </w:r>
          </w:p>
          <w:p>
            <w:pPr>
              <w:spacing w:after="160" w:line="276" w:lineRule="auto"/>
              <w:jc w:val="center"/>
              <w:rPr>
                <w:rFonts w:hint="eastAsia" w:ascii="仿宋" w:hAnsi="仿宋" w:eastAsia="仿宋" w:cs="Times New Roman"/>
                <w:szCs w:val="21"/>
              </w:rPr>
            </w:pPr>
            <w:r>
              <w:rPr>
                <w:rFonts w:hint="eastAsia" w:ascii="仿宋" w:hAnsi="仿宋" w:eastAsia="仿宋" w:cs="Times New Roman"/>
                <w:szCs w:val="21"/>
              </w:rPr>
              <w:t>信用代码</w:t>
            </w:r>
          </w:p>
        </w:tc>
        <w:tc>
          <w:tcPr>
            <w:tcW w:w="6965"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276" w:lineRule="auto"/>
              <w:rPr>
                <w:rFonts w:hint="eastAsia" w:ascii="仿宋" w:hAnsi="仿宋" w:eastAsia="仿宋" w:cs="Times New Roman"/>
                <w:szCs w:val="21"/>
              </w:rPr>
            </w:pPr>
          </w:p>
        </w:tc>
      </w:tr>
      <w:tr>
        <w:tblPrEx>
          <w:tblCellMar>
            <w:top w:w="0" w:type="dxa"/>
            <w:left w:w="108" w:type="dxa"/>
            <w:bottom w:w="0" w:type="dxa"/>
            <w:right w:w="108" w:type="dxa"/>
          </w:tblCellMar>
        </w:tblPrEx>
        <w:tc>
          <w:tcPr>
            <w:tcW w:w="139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160" w:line="276" w:lineRule="auto"/>
              <w:jc w:val="center"/>
              <w:rPr>
                <w:rFonts w:hint="eastAsia" w:ascii="仿宋" w:hAnsi="仿宋" w:eastAsia="仿宋" w:cs="Times New Roman"/>
                <w:szCs w:val="21"/>
              </w:rPr>
            </w:pPr>
            <w:r>
              <w:rPr>
                <w:rFonts w:hint="eastAsia" w:ascii="仿宋" w:hAnsi="仿宋" w:eastAsia="仿宋" w:cs="Times New Roman"/>
                <w:szCs w:val="21"/>
              </w:rPr>
              <w:t>备案材料</w:t>
            </w:r>
          </w:p>
        </w:tc>
        <w:tc>
          <w:tcPr>
            <w:tcW w:w="6965"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before="93" w:beforeLines="30" w:after="160" w:line="276" w:lineRule="auto"/>
              <w:rPr>
                <w:rFonts w:hint="eastAsia" w:ascii="仿宋" w:hAnsi="仿宋" w:eastAsia="仿宋" w:cs="Times New Roman"/>
                <w:szCs w:val="21"/>
              </w:rPr>
            </w:pPr>
            <w:r>
              <w:rPr>
                <w:rFonts w:hint="eastAsia" w:ascii="仿宋" w:hAnsi="仿宋" w:eastAsia="仿宋" w:cs="Times New Roman"/>
                <w:szCs w:val="21"/>
              </w:rPr>
              <w:t>□可行性报告和业务计划书</w:t>
            </w:r>
          </w:p>
          <w:p>
            <w:pPr>
              <w:spacing w:after="160" w:line="360" w:lineRule="auto"/>
              <w:rPr>
                <w:rFonts w:hint="eastAsia" w:ascii="仿宋" w:hAnsi="仿宋" w:eastAsia="仿宋" w:cs="Times New Roman"/>
                <w:szCs w:val="21"/>
              </w:rPr>
            </w:pPr>
            <w:r>
              <w:rPr>
                <w:rFonts w:hint="eastAsia" w:ascii="仿宋" w:hAnsi="仿宋" w:eastAsia="仿宋" w:cs="Times New Roman"/>
                <w:szCs w:val="21"/>
              </w:rPr>
              <w:t>□调运外币现钞进出境业务管理制度</w:t>
            </w:r>
          </w:p>
        </w:tc>
      </w:tr>
      <w:tr>
        <w:tblPrEx>
          <w:tblCellMar>
            <w:top w:w="0" w:type="dxa"/>
            <w:left w:w="108" w:type="dxa"/>
            <w:bottom w:w="0" w:type="dxa"/>
            <w:right w:w="108" w:type="dxa"/>
          </w:tblCellMar>
        </w:tblPrEx>
        <w:tc>
          <w:tcPr>
            <w:tcW w:w="1390"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160" w:line="276" w:lineRule="auto"/>
              <w:jc w:val="center"/>
              <w:rPr>
                <w:rFonts w:hint="eastAsia" w:ascii="仿宋" w:hAnsi="仿宋" w:eastAsia="仿宋" w:cs="Times New Roman"/>
                <w:szCs w:val="21"/>
              </w:rPr>
            </w:pPr>
            <w:r>
              <w:rPr>
                <w:rFonts w:hint="eastAsia" w:ascii="仿宋" w:hAnsi="仿宋" w:eastAsia="仿宋" w:cs="Times New Roman"/>
                <w:szCs w:val="21"/>
              </w:rPr>
              <w:t>联系人员</w:t>
            </w:r>
          </w:p>
        </w:tc>
        <w:tc>
          <w:tcPr>
            <w:tcW w:w="155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160" w:line="276" w:lineRule="auto"/>
              <w:jc w:val="center"/>
              <w:rPr>
                <w:rFonts w:hint="eastAsia" w:ascii="仿宋" w:hAnsi="仿宋" w:eastAsia="仿宋" w:cs="Times New Roman"/>
                <w:szCs w:val="21"/>
              </w:rPr>
            </w:pPr>
            <w:r>
              <w:rPr>
                <w:rFonts w:hint="eastAsia" w:ascii="仿宋" w:hAnsi="仿宋" w:eastAsia="仿宋" w:cs="Times New Roman"/>
                <w:szCs w:val="21"/>
              </w:rPr>
              <w:t>职责</w:t>
            </w:r>
          </w:p>
        </w:tc>
        <w:tc>
          <w:tcPr>
            <w:tcW w:w="123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160" w:line="276" w:lineRule="auto"/>
              <w:jc w:val="center"/>
              <w:rPr>
                <w:rFonts w:hint="eastAsia" w:ascii="仿宋" w:hAnsi="仿宋" w:eastAsia="仿宋" w:cs="Times New Roman"/>
                <w:szCs w:val="21"/>
              </w:rPr>
            </w:pPr>
            <w:r>
              <w:rPr>
                <w:rFonts w:hint="eastAsia" w:ascii="仿宋" w:hAnsi="仿宋" w:eastAsia="仿宋" w:cs="Times New Roman"/>
                <w:szCs w:val="21"/>
              </w:rPr>
              <w:t>姓名</w:t>
            </w:r>
          </w:p>
        </w:tc>
        <w:tc>
          <w:tcPr>
            <w:tcW w:w="13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160" w:line="276" w:lineRule="auto"/>
              <w:jc w:val="center"/>
              <w:rPr>
                <w:rFonts w:hint="eastAsia" w:ascii="仿宋" w:hAnsi="仿宋" w:eastAsia="仿宋" w:cs="Times New Roman"/>
                <w:szCs w:val="21"/>
              </w:rPr>
            </w:pPr>
            <w:r>
              <w:rPr>
                <w:rFonts w:hint="eastAsia" w:ascii="仿宋" w:hAnsi="仿宋" w:eastAsia="仿宋" w:cs="Times New Roman"/>
                <w:szCs w:val="21"/>
              </w:rPr>
              <w:t>部门</w:t>
            </w: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160" w:line="276" w:lineRule="auto"/>
              <w:jc w:val="center"/>
              <w:rPr>
                <w:rFonts w:hint="eastAsia" w:ascii="仿宋" w:hAnsi="仿宋" w:eastAsia="仿宋" w:cs="Times New Roman"/>
                <w:szCs w:val="21"/>
              </w:rPr>
            </w:pPr>
            <w:r>
              <w:rPr>
                <w:rFonts w:hint="eastAsia" w:ascii="仿宋" w:hAnsi="仿宋" w:eastAsia="仿宋" w:cs="Times New Roman"/>
                <w:szCs w:val="21"/>
              </w:rPr>
              <w:t>职务</w:t>
            </w: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160" w:line="276" w:lineRule="auto"/>
              <w:jc w:val="center"/>
              <w:rPr>
                <w:rFonts w:hint="eastAsia" w:ascii="仿宋" w:hAnsi="仿宋" w:eastAsia="仿宋" w:cs="Times New Roman"/>
                <w:szCs w:val="21"/>
              </w:rPr>
            </w:pPr>
            <w:r>
              <w:rPr>
                <w:rFonts w:hint="eastAsia" w:ascii="仿宋" w:hAnsi="仿宋" w:eastAsia="仿宋" w:cs="Times New Roman"/>
                <w:szCs w:val="21"/>
              </w:rPr>
              <w:t>联系电话</w:t>
            </w:r>
          </w:p>
        </w:tc>
      </w:tr>
      <w:tr>
        <w:tblPrEx>
          <w:tblCellMar>
            <w:top w:w="0" w:type="dxa"/>
            <w:left w:w="108" w:type="dxa"/>
            <w:bottom w:w="0" w:type="dxa"/>
            <w:right w:w="108" w:type="dxa"/>
          </w:tblCellMar>
        </w:tblPrEx>
        <w:tc>
          <w:tcPr>
            <w:tcW w:w="1390" w:type="dxa"/>
            <w:vMerge w:val="continue"/>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spacing w:after="160" w:line="276" w:lineRule="auto"/>
              <w:jc w:val="left"/>
              <w:rPr>
                <w:rFonts w:hint="eastAsia" w:ascii="仿宋" w:hAnsi="仿宋" w:eastAsia="仿宋" w:cs="Times New Roman"/>
                <w:szCs w:val="21"/>
              </w:rPr>
            </w:pPr>
          </w:p>
        </w:tc>
        <w:tc>
          <w:tcPr>
            <w:tcW w:w="155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160" w:line="276" w:lineRule="auto"/>
              <w:jc w:val="center"/>
              <w:rPr>
                <w:rFonts w:hint="eastAsia" w:ascii="仿宋" w:hAnsi="仿宋" w:eastAsia="仿宋" w:cs="Times New Roman"/>
                <w:szCs w:val="21"/>
              </w:rPr>
            </w:pPr>
            <w:r>
              <w:rPr>
                <w:rFonts w:hint="eastAsia" w:ascii="仿宋" w:hAnsi="仿宋" w:eastAsia="仿宋" w:cs="Times New Roman"/>
                <w:szCs w:val="21"/>
              </w:rPr>
              <w:t>主管行长</w:t>
            </w:r>
          </w:p>
        </w:tc>
        <w:tc>
          <w:tcPr>
            <w:tcW w:w="12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276" w:lineRule="auto"/>
              <w:rPr>
                <w:rFonts w:hint="eastAsia" w:ascii="仿宋" w:hAnsi="仿宋" w:eastAsia="仿宋" w:cs="Times New Roman"/>
                <w:szCs w:val="21"/>
              </w:rPr>
            </w:pPr>
          </w:p>
        </w:tc>
        <w:tc>
          <w:tcPr>
            <w:tcW w:w="139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276" w:lineRule="auto"/>
              <w:rPr>
                <w:rFonts w:hint="eastAsia" w:ascii="仿宋" w:hAnsi="仿宋" w:eastAsia="仿宋" w:cs="Times New Roman"/>
                <w:szCs w:val="21"/>
              </w:rPr>
            </w:pP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276" w:lineRule="auto"/>
              <w:rPr>
                <w:rFonts w:hint="eastAsia" w:ascii="仿宋" w:hAnsi="仿宋" w:eastAsia="仿宋" w:cs="Times New Roman"/>
                <w:szCs w:val="21"/>
              </w:rPr>
            </w:pP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276" w:lineRule="auto"/>
              <w:rPr>
                <w:rFonts w:hint="eastAsia" w:ascii="仿宋" w:hAnsi="仿宋" w:eastAsia="仿宋" w:cs="Times New Roman"/>
                <w:szCs w:val="21"/>
              </w:rPr>
            </w:pPr>
          </w:p>
        </w:tc>
      </w:tr>
      <w:tr>
        <w:tblPrEx>
          <w:tblCellMar>
            <w:top w:w="0" w:type="dxa"/>
            <w:left w:w="108" w:type="dxa"/>
            <w:bottom w:w="0" w:type="dxa"/>
            <w:right w:w="108" w:type="dxa"/>
          </w:tblCellMar>
        </w:tblPrEx>
        <w:tc>
          <w:tcPr>
            <w:tcW w:w="1390" w:type="dxa"/>
            <w:vMerge w:val="continue"/>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spacing w:after="160" w:line="276" w:lineRule="auto"/>
              <w:jc w:val="left"/>
              <w:rPr>
                <w:rFonts w:hint="eastAsia" w:ascii="仿宋" w:hAnsi="仿宋" w:eastAsia="仿宋" w:cs="Times New Roman"/>
                <w:szCs w:val="21"/>
              </w:rPr>
            </w:pPr>
          </w:p>
        </w:tc>
        <w:tc>
          <w:tcPr>
            <w:tcW w:w="155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160" w:line="276" w:lineRule="auto"/>
              <w:jc w:val="center"/>
              <w:rPr>
                <w:rFonts w:hint="eastAsia" w:ascii="仿宋" w:hAnsi="仿宋" w:eastAsia="仿宋" w:cs="Times New Roman"/>
                <w:szCs w:val="21"/>
              </w:rPr>
            </w:pPr>
            <w:r>
              <w:rPr>
                <w:rFonts w:hint="eastAsia" w:ascii="仿宋" w:hAnsi="仿宋" w:eastAsia="仿宋" w:cs="Times New Roman"/>
                <w:szCs w:val="21"/>
              </w:rPr>
              <w:t>部门负责人</w:t>
            </w:r>
          </w:p>
        </w:tc>
        <w:tc>
          <w:tcPr>
            <w:tcW w:w="12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276" w:lineRule="auto"/>
              <w:rPr>
                <w:rFonts w:hint="eastAsia" w:ascii="仿宋" w:hAnsi="仿宋" w:eastAsia="仿宋" w:cs="Times New Roman"/>
                <w:szCs w:val="21"/>
              </w:rPr>
            </w:pPr>
          </w:p>
        </w:tc>
        <w:tc>
          <w:tcPr>
            <w:tcW w:w="139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276" w:lineRule="auto"/>
              <w:rPr>
                <w:rFonts w:hint="eastAsia" w:ascii="仿宋" w:hAnsi="仿宋" w:eastAsia="仿宋" w:cs="Times New Roman"/>
                <w:szCs w:val="21"/>
              </w:rPr>
            </w:pP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276" w:lineRule="auto"/>
              <w:rPr>
                <w:rFonts w:hint="eastAsia" w:ascii="仿宋" w:hAnsi="仿宋" w:eastAsia="仿宋" w:cs="Times New Roman"/>
                <w:szCs w:val="21"/>
              </w:rPr>
            </w:pP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276" w:lineRule="auto"/>
              <w:rPr>
                <w:rFonts w:hint="eastAsia" w:ascii="仿宋" w:hAnsi="仿宋" w:eastAsia="仿宋" w:cs="Times New Roman"/>
                <w:szCs w:val="21"/>
              </w:rPr>
            </w:pPr>
          </w:p>
        </w:tc>
      </w:tr>
      <w:tr>
        <w:tblPrEx>
          <w:tblCellMar>
            <w:top w:w="0" w:type="dxa"/>
            <w:left w:w="108" w:type="dxa"/>
            <w:bottom w:w="0" w:type="dxa"/>
            <w:right w:w="108" w:type="dxa"/>
          </w:tblCellMar>
        </w:tblPrEx>
        <w:tc>
          <w:tcPr>
            <w:tcW w:w="1390" w:type="dxa"/>
            <w:vMerge w:val="continue"/>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spacing w:after="160" w:line="276" w:lineRule="auto"/>
              <w:jc w:val="left"/>
              <w:rPr>
                <w:rFonts w:hint="eastAsia" w:ascii="仿宋" w:hAnsi="仿宋" w:eastAsia="仿宋" w:cs="Times New Roman"/>
                <w:szCs w:val="21"/>
              </w:rPr>
            </w:pPr>
          </w:p>
        </w:tc>
        <w:tc>
          <w:tcPr>
            <w:tcW w:w="155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160" w:line="276" w:lineRule="auto"/>
              <w:jc w:val="center"/>
              <w:rPr>
                <w:rFonts w:hint="eastAsia" w:ascii="仿宋" w:hAnsi="仿宋" w:eastAsia="仿宋" w:cs="Times New Roman"/>
                <w:szCs w:val="21"/>
              </w:rPr>
            </w:pPr>
            <w:r>
              <w:rPr>
                <w:rFonts w:hint="eastAsia" w:ascii="仿宋" w:hAnsi="仿宋" w:eastAsia="仿宋" w:cs="Times New Roman"/>
                <w:szCs w:val="21"/>
              </w:rPr>
              <w:t>业务联系人</w:t>
            </w:r>
          </w:p>
        </w:tc>
        <w:tc>
          <w:tcPr>
            <w:tcW w:w="123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276" w:lineRule="auto"/>
              <w:rPr>
                <w:rFonts w:hint="eastAsia" w:ascii="仿宋" w:hAnsi="仿宋" w:eastAsia="仿宋" w:cs="Times New Roman"/>
                <w:szCs w:val="21"/>
              </w:rPr>
            </w:pPr>
          </w:p>
        </w:tc>
        <w:tc>
          <w:tcPr>
            <w:tcW w:w="139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276" w:lineRule="auto"/>
              <w:rPr>
                <w:rFonts w:hint="eastAsia" w:ascii="仿宋" w:hAnsi="仿宋" w:eastAsia="仿宋" w:cs="Times New Roman"/>
                <w:szCs w:val="21"/>
              </w:rPr>
            </w:pP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276" w:lineRule="auto"/>
              <w:rPr>
                <w:rFonts w:hint="eastAsia" w:ascii="仿宋" w:hAnsi="仿宋" w:eastAsia="仿宋" w:cs="Times New Roman"/>
                <w:szCs w:val="21"/>
              </w:rPr>
            </w:pP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276" w:lineRule="auto"/>
              <w:rPr>
                <w:rFonts w:hint="eastAsia" w:ascii="仿宋" w:hAnsi="仿宋" w:eastAsia="仿宋" w:cs="Times New Roman"/>
                <w:szCs w:val="21"/>
              </w:rPr>
            </w:pPr>
          </w:p>
        </w:tc>
      </w:tr>
      <w:tr>
        <w:tblPrEx>
          <w:tblCellMar>
            <w:top w:w="0" w:type="dxa"/>
            <w:left w:w="108" w:type="dxa"/>
            <w:bottom w:w="0" w:type="dxa"/>
            <w:right w:w="108" w:type="dxa"/>
          </w:tblCellMar>
        </w:tblPrEx>
        <w:trPr>
          <w:trHeight w:val="1724" w:hRule="atLeast"/>
        </w:trPr>
        <w:tc>
          <w:tcPr>
            <w:tcW w:w="8355" w:type="dxa"/>
            <w:gridSpan w:val="6"/>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276" w:lineRule="auto"/>
              <w:rPr>
                <w:rFonts w:hint="eastAsia" w:ascii="仿宋" w:hAnsi="仿宋" w:eastAsia="仿宋" w:cs="Times New Roman"/>
                <w:szCs w:val="21"/>
              </w:rPr>
            </w:pPr>
            <w:r>
              <w:rPr>
                <w:rFonts w:hint="eastAsia" w:ascii="仿宋" w:hAnsi="仿宋" w:eastAsia="仿宋" w:cs="Times New Roman"/>
                <w:szCs w:val="21"/>
              </w:rPr>
              <w:t>备案声明：</w:t>
            </w:r>
          </w:p>
          <w:p>
            <w:pPr>
              <w:spacing w:after="160" w:line="276" w:lineRule="auto"/>
              <w:ind w:firstLine="465"/>
              <w:rPr>
                <w:rFonts w:hint="eastAsia" w:ascii="仿宋" w:hAnsi="仿宋" w:eastAsia="仿宋" w:cs="Times New Roman"/>
                <w:szCs w:val="21"/>
              </w:rPr>
            </w:pPr>
          </w:p>
          <w:p>
            <w:pPr>
              <w:spacing w:after="160" w:line="276" w:lineRule="auto"/>
              <w:ind w:firstLine="465"/>
              <w:rPr>
                <w:rFonts w:hint="eastAsia" w:ascii="仿宋" w:hAnsi="仿宋" w:eastAsia="仿宋" w:cs="Times New Roman"/>
                <w:szCs w:val="21"/>
              </w:rPr>
            </w:pPr>
            <w:r>
              <w:rPr>
                <w:rFonts w:hint="eastAsia" w:ascii="仿宋" w:hAnsi="仿宋" w:eastAsia="仿宋" w:cs="Times New Roman"/>
                <w:szCs w:val="21"/>
              </w:rPr>
              <w:t>以上情况全部属实，如有不真实，愿承担由此引起的法律责任。</w:t>
            </w:r>
          </w:p>
          <w:p>
            <w:pPr>
              <w:spacing w:after="160" w:line="276" w:lineRule="auto"/>
              <w:ind w:firstLine="465"/>
              <w:rPr>
                <w:rFonts w:hint="eastAsia" w:ascii="仿宋" w:hAnsi="仿宋" w:eastAsia="仿宋" w:cs="Times New Roman"/>
                <w:szCs w:val="21"/>
              </w:rPr>
            </w:pPr>
          </w:p>
          <w:p>
            <w:pPr>
              <w:spacing w:after="160" w:line="276" w:lineRule="auto"/>
              <w:ind w:firstLine="465"/>
              <w:rPr>
                <w:rFonts w:hint="eastAsia" w:ascii="仿宋" w:hAnsi="仿宋" w:eastAsia="仿宋" w:cs="Times New Roman"/>
                <w:szCs w:val="21"/>
              </w:rPr>
            </w:pPr>
          </w:p>
          <w:p>
            <w:pPr>
              <w:wordWrap w:val="0"/>
              <w:spacing w:after="160" w:line="276" w:lineRule="auto"/>
              <w:ind w:firstLine="465"/>
              <w:jc w:val="right"/>
              <w:rPr>
                <w:rFonts w:hint="eastAsia" w:ascii="仿宋" w:hAnsi="仿宋" w:eastAsia="仿宋" w:cs="Times New Roman"/>
                <w:szCs w:val="21"/>
              </w:rPr>
            </w:pPr>
            <w:r>
              <w:rPr>
                <w:rFonts w:hint="eastAsia" w:ascii="仿宋" w:hAnsi="仿宋" w:eastAsia="仿宋" w:cs="Times New Roman"/>
                <w:szCs w:val="21"/>
              </w:rPr>
              <w:t xml:space="preserve">备案银行签章      </w:t>
            </w:r>
          </w:p>
          <w:p>
            <w:pPr>
              <w:spacing w:after="160" w:line="276" w:lineRule="auto"/>
              <w:ind w:firstLine="465"/>
              <w:jc w:val="right"/>
              <w:rPr>
                <w:rFonts w:hint="eastAsia" w:ascii="仿宋" w:hAnsi="仿宋" w:eastAsia="仿宋" w:cs="Times New Roman"/>
                <w:szCs w:val="21"/>
              </w:rPr>
            </w:pPr>
          </w:p>
          <w:p>
            <w:pPr>
              <w:wordWrap w:val="0"/>
              <w:spacing w:after="160" w:line="276" w:lineRule="auto"/>
              <w:ind w:firstLine="465"/>
              <w:jc w:val="right"/>
              <w:rPr>
                <w:rFonts w:hint="eastAsia" w:ascii="仿宋" w:hAnsi="仿宋" w:eastAsia="仿宋" w:cs="Times New Roman"/>
                <w:szCs w:val="21"/>
              </w:rPr>
            </w:pPr>
            <w:r>
              <w:rPr>
                <w:rFonts w:hint="eastAsia" w:ascii="仿宋" w:hAnsi="仿宋" w:eastAsia="仿宋" w:cs="Times New Roman"/>
                <w:szCs w:val="21"/>
              </w:rPr>
              <w:t xml:space="preserve">  年  月  日       </w:t>
            </w:r>
          </w:p>
        </w:tc>
      </w:tr>
      <w:tr>
        <w:tblPrEx>
          <w:tblCellMar>
            <w:top w:w="0" w:type="dxa"/>
            <w:left w:w="108" w:type="dxa"/>
            <w:bottom w:w="0" w:type="dxa"/>
            <w:right w:w="108" w:type="dxa"/>
          </w:tblCellMar>
        </w:tblPrEx>
        <w:tc>
          <w:tcPr>
            <w:tcW w:w="8355" w:type="dxa"/>
            <w:gridSpan w:val="6"/>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160" w:line="276" w:lineRule="auto"/>
              <w:rPr>
                <w:rFonts w:hint="eastAsia" w:ascii="仿宋" w:hAnsi="仿宋" w:eastAsia="仿宋" w:cs="Times New Roman"/>
                <w:szCs w:val="21"/>
              </w:rPr>
            </w:pPr>
            <w:r>
              <w:rPr>
                <w:rFonts w:hint="eastAsia" w:ascii="仿宋" w:hAnsi="仿宋" w:eastAsia="仿宋" w:cs="Times New Roman"/>
                <w:szCs w:val="21"/>
              </w:rPr>
              <w:t>备案意见：</w:t>
            </w:r>
          </w:p>
          <w:p>
            <w:pPr>
              <w:spacing w:after="160" w:line="276" w:lineRule="auto"/>
              <w:rPr>
                <w:rFonts w:hint="eastAsia" w:ascii="仿宋" w:hAnsi="仿宋" w:eastAsia="仿宋" w:cs="Times New Roman"/>
                <w:szCs w:val="21"/>
              </w:rPr>
            </w:pPr>
          </w:p>
          <w:p>
            <w:pPr>
              <w:spacing w:after="160" w:line="276" w:lineRule="auto"/>
              <w:ind w:firstLine="420" w:firstLineChars="200"/>
              <w:rPr>
                <w:rFonts w:hint="eastAsia" w:ascii="仿宋" w:hAnsi="仿宋" w:eastAsia="仿宋" w:cs="Times New Roman"/>
                <w:szCs w:val="21"/>
              </w:rPr>
            </w:pPr>
            <w:r>
              <w:rPr>
                <w:rFonts w:hint="eastAsia" w:ascii="仿宋" w:hAnsi="仿宋" w:eastAsia="仿宋" w:cs="Times New Roman"/>
                <w:szCs w:val="21"/>
              </w:rPr>
              <w:t>予以备案。自备案之日起30个工作日后你行可办理调运外币现钞进出境业务。</w:t>
            </w:r>
          </w:p>
          <w:p>
            <w:pPr>
              <w:spacing w:after="160" w:line="276" w:lineRule="auto"/>
              <w:ind w:firstLine="420" w:firstLineChars="200"/>
              <w:rPr>
                <w:rFonts w:hint="eastAsia" w:ascii="仿宋" w:hAnsi="仿宋" w:eastAsia="仿宋" w:cs="Times New Roman"/>
                <w:szCs w:val="21"/>
              </w:rPr>
            </w:pPr>
            <w:r>
              <w:rPr>
                <w:rFonts w:hint="eastAsia" w:ascii="仿宋" w:hAnsi="仿宋" w:eastAsia="仿宋" w:cs="Times New Roman"/>
                <w:szCs w:val="21"/>
              </w:rPr>
              <w:t>你行办理调运外币现钞进出境业务，应遵照《调运外币现钞进出境管理规定》（汇发〔2019〕16 号）等有关规定执行。</w:t>
            </w:r>
          </w:p>
          <w:p>
            <w:pPr>
              <w:spacing w:after="160" w:line="276" w:lineRule="auto"/>
              <w:rPr>
                <w:rFonts w:hint="eastAsia" w:ascii="仿宋" w:hAnsi="仿宋" w:eastAsia="仿宋" w:cs="Times New Roman"/>
                <w:szCs w:val="21"/>
              </w:rPr>
            </w:pPr>
          </w:p>
          <w:p>
            <w:pPr>
              <w:spacing w:after="160" w:line="276" w:lineRule="auto"/>
              <w:rPr>
                <w:rFonts w:hint="eastAsia" w:ascii="仿宋" w:hAnsi="仿宋" w:eastAsia="仿宋" w:cs="Times New Roman"/>
                <w:szCs w:val="21"/>
              </w:rPr>
            </w:pPr>
          </w:p>
          <w:p>
            <w:pPr>
              <w:wordWrap w:val="0"/>
              <w:spacing w:after="160" w:line="276" w:lineRule="auto"/>
              <w:ind w:firstLine="465"/>
              <w:jc w:val="right"/>
              <w:rPr>
                <w:rFonts w:hint="eastAsia" w:ascii="仿宋" w:hAnsi="仿宋" w:eastAsia="仿宋" w:cs="Times New Roman"/>
                <w:szCs w:val="21"/>
              </w:rPr>
            </w:pPr>
            <w:r>
              <w:rPr>
                <w:rFonts w:hint="eastAsia" w:ascii="仿宋" w:hAnsi="仿宋" w:eastAsia="仿宋" w:cs="Times New Roman"/>
                <w:szCs w:val="21"/>
              </w:rPr>
              <w:t xml:space="preserve">国家外汇管理局      </w:t>
            </w:r>
          </w:p>
          <w:p>
            <w:pPr>
              <w:wordWrap w:val="0"/>
              <w:spacing w:after="160" w:line="276" w:lineRule="auto"/>
              <w:ind w:firstLine="465"/>
              <w:jc w:val="right"/>
              <w:rPr>
                <w:rFonts w:hint="eastAsia" w:ascii="仿宋" w:hAnsi="仿宋" w:eastAsia="仿宋" w:cs="Times New Roman"/>
                <w:szCs w:val="21"/>
              </w:rPr>
            </w:pPr>
            <w:r>
              <w:rPr>
                <w:rFonts w:hint="eastAsia" w:ascii="仿宋" w:hAnsi="仿宋" w:eastAsia="仿宋" w:cs="Times New Roman"/>
                <w:szCs w:val="21"/>
              </w:rPr>
              <w:t xml:space="preserve">XX分局（外汇管理部）签章 </w:t>
            </w:r>
          </w:p>
          <w:p>
            <w:pPr>
              <w:spacing w:after="160" w:line="276" w:lineRule="auto"/>
              <w:ind w:right="480"/>
              <w:rPr>
                <w:rFonts w:hint="eastAsia" w:ascii="仿宋" w:hAnsi="仿宋" w:eastAsia="仿宋" w:cs="Times New Roman"/>
                <w:szCs w:val="21"/>
              </w:rPr>
            </w:pPr>
          </w:p>
          <w:p>
            <w:pPr>
              <w:wordWrap w:val="0"/>
              <w:spacing w:after="160" w:line="276" w:lineRule="auto"/>
              <w:ind w:firstLine="420" w:firstLineChars="200"/>
              <w:jc w:val="right"/>
              <w:rPr>
                <w:rFonts w:hint="eastAsia" w:ascii="仿宋" w:hAnsi="仿宋" w:eastAsia="仿宋" w:cs="Times New Roman"/>
                <w:szCs w:val="21"/>
              </w:rPr>
            </w:pPr>
            <w:r>
              <w:rPr>
                <w:rFonts w:hint="eastAsia" w:ascii="仿宋" w:hAnsi="仿宋" w:eastAsia="仿宋" w:cs="Times New Roman"/>
                <w:szCs w:val="21"/>
              </w:rPr>
              <w:t xml:space="preserve">  年  月  日       </w:t>
            </w:r>
          </w:p>
        </w:tc>
      </w:tr>
      <w:tr>
        <w:tblPrEx>
          <w:tblCellMar>
            <w:top w:w="0" w:type="dxa"/>
            <w:left w:w="108" w:type="dxa"/>
            <w:bottom w:w="0" w:type="dxa"/>
            <w:right w:w="108" w:type="dxa"/>
          </w:tblCellMar>
        </w:tblPrEx>
        <w:tc>
          <w:tcPr>
            <w:tcW w:w="8355" w:type="dxa"/>
            <w:gridSpan w:val="6"/>
            <w:tcBorders>
              <w:top w:val="single" w:color="000000" w:themeColor="text1" w:sz="4" w:space="0"/>
              <w:left w:val="nil"/>
              <w:bottom w:val="nil"/>
              <w:right w:val="nil"/>
            </w:tcBorders>
            <w:vAlign w:val="center"/>
          </w:tcPr>
          <w:p>
            <w:pPr>
              <w:spacing w:after="160" w:line="276" w:lineRule="auto"/>
              <w:rPr>
                <w:rFonts w:hint="eastAsia" w:ascii="仿宋" w:hAnsi="仿宋" w:eastAsia="仿宋" w:cs="Times New Roman"/>
                <w:szCs w:val="21"/>
              </w:rPr>
            </w:pPr>
            <w:r>
              <w:rPr>
                <w:rFonts w:hint="eastAsia" w:ascii="仿宋" w:hAnsi="仿宋" w:eastAsia="仿宋" w:cs="Times New Roman"/>
                <w:szCs w:val="21"/>
              </w:rPr>
              <w:t>附注：</w:t>
            </w:r>
          </w:p>
          <w:p>
            <w:pPr>
              <w:spacing w:after="160" w:line="276" w:lineRule="auto"/>
              <w:rPr>
                <w:rFonts w:hint="eastAsia" w:ascii="仿宋" w:hAnsi="仿宋" w:eastAsia="仿宋" w:cs="Times New Roman"/>
                <w:szCs w:val="21"/>
              </w:rPr>
            </w:pPr>
            <w:r>
              <w:rPr>
                <w:rFonts w:hint="eastAsia" w:ascii="仿宋" w:hAnsi="仿宋" w:eastAsia="仿宋" w:cs="Times New Roman"/>
                <w:szCs w:val="21"/>
              </w:rPr>
              <w:t>1.本表仅适用于境内商业银行总行（或外国银行分行）。</w:t>
            </w:r>
          </w:p>
          <w:p>
            <w:pPr>
              <w:spacing w:after="160" w:line="276" w:lineRule="auto"/>
              <w:rPr>
                <w:rFonts w:hint="eastAsia" w:ascii="仿宋" w:hAnsi="仿宋" w:eastAsia="仿宋" w:cs="Times New Roman"/>
                <w:szCs w:val="21"/>
              </w:rPr>
            </w:pPr>
            <w:r>
              <w:rPr>
                <w:rFonts w:hint="eastAsia" w:ascii="仿宋" w:hAnsi="仿宋" w:eastAsia="仿宋" w:cs="Times New Roman"/>
                <w:szCs w:val="21"/>
              </w:rPr>
              <w:t>2.本表一式两份，分别由备案银行及其所在地外汇分局留存。</w:t>
            </w:r>
          </w:p>
          <w:p>
            <w:pPr>
              <w:spacing w:after="160" w:line="276" w:lineRule="auto"/>
              <w:rPr>
                <w:rFonts w:hint="eastAsia" w:ascii="仿宋" w:hAnsi="仿宋" w:eastAsia="仿宋" w:cs="Times New Roman"/>
                <w:szCs w:val="21"/>
              </w:rPr>
            </w:pPr>
            <w:r>
              <w:rPr>
                <w:rFonts w:hint="eastAsia" w:ascii="仿宋" w:hAnsi="仿宋" w:eastAsia="仿宋" w:cs="Times New Roman"/>
                <w:szCs w:val="21"/>
              </w:rPr>
              <w:t>3.备案银行名称及社会统一信用代码应与工商营业执照信息一致。</w:t>
            </w:r>
          </w:p>
        </w:tc>
      </w:tr>
    </w:tbl>
    <w:p>
      <w:pPr>
        <w:rPr>
          <w:rFonts w:hint="eastAsia" w:ascii="仿宋" w:hAnsi="仿宋" w:eastAsia="仿宋" w:cs="Times New Roman"/>
          <w:szCs w:val="21"/>
        </w:rPr>
      </w:pPr>
    </w:p>
    <w:p>
      <w:pPr>
        <w:widowControl/>
        <w:jc w:val="left"/>
        <w:rPr>
          <w:rFonts w:hint="eastAsia" w:ascii="仿宋" w:hAnsi="仿宋" w:eastAsia="仿宋" w:cs="Times New Roman"/>
          <w:szCs w:val="21"/>
        </w:rPr>
      </w:pPr>
      <w:r>
        <w:rPr>
          <w:rFonts w:hint="eastAsia" w:ascii="仿宋" w:hAnsi="仿宋" w:eastAsia="仿宋" w:cs="Times New Roman"/>
          <w:szCs w:val="21"/>
        </w:rPr>
        <w:br w:type="page"/>
      </w:r>
    </w:p>
    <w:p>
      <w:pPr>
        <w:rPr>
          <w:rFonts w:hint="eastAsia" w:ascii="仿宋" w:hAnsi="仿宋" w:eastAsia="仿宋" w:cs="Times New Roman"/>
          <w:szCs w:val="21"/>
        </w:rPr>
      </w:pPr>
    </w:p>
    <w:p>
      <w:pPr>
        <w:spacing w:line="360" w:lineRule="auto"/>
        <w:rPr>
          <w:rFonts w:hint="eastAsia" w:ascii="仿宋" w:hAnsi="仿宋" w:eastAsia="仿宋" w:cs="Times New Roman"/>
          <w:szCs w:val="21"/>
        </w:rPr>
      </w:pPr>
      <w:r>
        <w:rPr>
          <w:rFonts w:hint="eastAsia" w:ascii="仿宋" w:hAnsi="仿宋" w:eastAsia="仿宋" w:cs="Times New Roman"/>
          <w:szCs w:val="21"/>
        </w:rPr>
        <w:t>附表2</w:t>
      </w:r>
    </w:p>
    <w:p>
      <w:pPr>
        <w:spacing w:line="360" w:lineRule="auto"/>
        <w:rPr>
          <w:rFonts w:hint="eastAsia" w:ascii="仿宋" w:hAnsi="仿宋" w:eastAsia="仿宋" w:cs="Times New Roman"/>
          <w:szCs w:val="21"/>
        </w:rPr>
      </w:pPr>
    </w:p>
    <w:p>
      <w:pPr>
        <w:spacing w:after="312" w:afterLines="100"/>
        <w:jc w:val="center"/>
        <w:rPr>
          <w:rFonts w:hint="eastAsia" w:ascii="仿宋" w:hAnsi="仿宋" w:eastAsia="仿宋" w:cs="Times New Roman"/>
          <w:b/>
          <w:spacing w:val="-20"/>
          <w:szCs w:val="21"/>
        </w:rPr>
      </w:pPr>
      <w:r>
        <w:rPr>
          <w:rFonts w:hint="eastAsia" w:ascii="仿宋" w:hAnsi="仿宋" w:eastAsia="仿宋" w:cs="Times New Roman"/>
          <w:b/>
          <w:spacing w:val="-20"/>
          <w:szCs w:val="21"/>
        </w:rPr>
        <w:t>银行停办调运外币现钞进出境业务备案表</w:t>
      </w:r>
    </w:p>
    <w:tbl>
      <w:tblPr>
        <w:tblStyle w:val="58"/>
        <w:tblW w:w="8355" w:type="dxa"/>
        <w:tblInd w:w="0" w:type="dxa"/>
        <w:tblLayout w:type="fixed"/>
        <w:tblCellMar>
          <w:top w:w="0" w:type="dxa"/>
          <w:left w:w="108" w:type="dxa"/>
          <w:bottom w:w="0" w:type="dxa"/>
          <w:right w:w="108" w:type="dxa"/>
        </w:tblCellMar>
      </w:tblPr>
      <w:tblGrid>
        <w:gridCol w:w="1401"/>
        <w:gridCol w:w="6954"/>
      </w:tblGrid>
      <w:tr>
        <w:tblPrEx>
          <w:tblCellMar>
            <w:top w:w="0" w:type="dxa"/>
            <w:left w:w="108" w:type="dxa"/>
            <w:bottom w:w="0" w:type="dxa"/>
            <w:right w:w="108" w:type="dxa"/>
          </w:tblCellMar>
        </w:tblPrEx>
        <w:trPr>
          <w:trHeight w:val="631" w:hRule="atLeast"/>
        </w:trPr>
        <w:tc>
          <w:tcPr>
            <w:tcW w:w="14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160" w:line="360" w:lineRule="auto"/>
              <w:jc w:val="center"/>
              <w:rPr>
                <w:rFonts w:hint="eastAsia" w:ascii="仿宋" w:hAnsi="仿宋" w:eastAsia="仿宋" w:cs="Times New Roman"/>
                <w:szCs w:val="21"/>
              </w:rPr>
            </w:pPr>
            <w:r>
              <w:rPr>
                <w:rFonts w:hint="eastAsia" w:ascii="仿宋" w:hAnsi="仿宋" w:eastAsia="仿宋" w:cs="Times New Roman"/>
                <w:szCs w:val="21"/>
              </w:rPr>
              <w:t>备案银行</w:t>
            </w:r>
          </w:p>
        </w:tc>
        <w:tc>
          <w:tcPr>
            <w:tcW w:w="69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eastAsia" w:ascii="仿宋" w:hAnsi="仿宋" w:eastAsia="仿宋" w:cs="Times New Roman"/>
                <w:szCs w:val="21"/>
              </w:rPr>
            </w:pPr>
          </w:p>
        </w:tc>
      </w:tr>
      <w:tr>
        <w:tblPrEx>
          <w:tblCellMar>
            <w:top w:w="0" w:type="dxa"/>
            <w:left w:w="108" w:type="dxa"/>
            <w:bottom w:w="0" w:type="dxa"/>
            <w:right w:w="108" w:type="dxa"/>
          </w:tblCellMar>
        </w:tblPrEx>
        <w:trPr>
          <w:trHeight w:val="710" w:hRule="atLeast"/>
        </w:trPr>
        <w:tc>
          <w:tcPr>
            <w:tcW w:w="14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160" w:line="276" w:lineRule="auto"/>
              <w:jc w:val="center"/>
              <w:rPr>
                <w:rFonts w:hint="eastAsia" w:ascii="仿宋" w:hAnsi="仿宋" w:eastAsia="仿宋" w:cs="Times New Roman"/>
                <w:szCs w:val="21"/>
              </w:rPr>
            </w:pPr>
            <w:r>
              <w:rPr>
                <w:rFonts w:hint="eastAsia" w:ascii="仿宋" w:hAnsi="仿宋" w:eastAsia="仿宋" w:cs="Times New Roman"/>
                <w:szCs w:val="21"/>
              </w:rPr>
              <w:t>统一社会</w:t>
            </w:r>
          </w:p>
          <w:p>
            <w:pPr>
              <w:spacing w:after="160" w:line="276" w:lineRule="auto"/>
              <w:jc w:val="center"/>
              <w:rPr>
                <w:rFonts w:hint="eastAsia" w:ascii="仿宋" w:hAnsi="仿宋" w:eastAsia="仿宋" w:cs="Times New Roman"/>
                <w:szCs w:val="21"/>
              </w:rPr>
            </w:pPr>
            <w:r>
              <w:rPr>
                <w:rFonts w:hint="eastAsia" w:ascii="仿宋" w:hAnsi="仿宋" w:eastAsia="仿宋" w:cs="Times New Roman"/>
                <w:szCs w:val="21"/>
              </w:rPr>
              <w:t>信用代码</w:t>
            </w:r>
          </w:p>
        </w:tc>
        <w:tc>
          <w:tcPr>
            <w:tcW w:w="69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276" w:lineRule="auto"/>
              <w:rPr>
                <w:rFonts w:hint="eastAsia" w:ascii="仿宋" w:hAnsi="仿宋" w:eastAsia="仿宋" w:cs="Times New Roman"/>
                <w:szCs w:val="21"/>
              </w:rPr>
            </w:pPr>
          </w:p>
        </w:tc>
      </w:tr>
      <w:tr>
        <w:tblPrEx>
          <w:tblCellMar>
            <w:top w:w="0" w:type="dxa"/>
            <w:left w:w="108" w:type="dxa"/>
            <w:bottom w:w="0" w:type="dxa"/>
            <w:right w:w="108" w:type="dxa"/>
          </w:tblCellMar>
        </w:tblPrEx>
        <w:trPr>
          <w:trHeight w:val="564" w:hRule="atLeast"/>
        </w:trPr>
        <w:tc>
          <w:tcPr>
            <w:tcW w:w="14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160" w:line="276" w:lineRule="auto"/>
              <w:jc w:val="center"/>
              <w:rPr>
                <w:rFonts w:hint="eastAsia" w:ascii="仿宋" w:hAnsi="仿宋" w:eastAsia="仿宋" w:cs="Times New Roman"/>
                <w:szCs w:val="21"/>
              </w:rPr>
            </w:pPr>
            <w:r>
              <w:rPr>
                <w:rFonts w:hint="eastAsia" w:ascii="仿宋" w:hAnsi="仿宋" w:eastAsia="仿宋" w:cs="Times New Roman"/>
                <w:szCs w:val="21"/>
              </w:rPr>
              <w:t>停办时间</w:t>
            </w:r>
          </w:p>
        </w:tc>
        <w:tc>
          <w:tcPr>
            <w:tcW w:w="69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eastAsia" w:ascii="仿宋" w:hAnsi="仿宋" w:eastAsia="仿宋" w:cs="Times New Roman"/>
                <w:szCs w:val="21"/>
              </w:rPr>
            </w:pPr>
          </w:p>
        </w:tc>
      </w:tr>
      <w:tr>
        <w:tblPrEx>
          <w:tblCellMar>
            <w:top w:w="0" w:type="dxa"/>
            <w:left w:w="108" w:type="dxa"/>
            <w:bottom w:w="0" w:type="dxa"/>
            <w:right w:w="108" w:type="dxa"/>
          </w:tblCellMar>
        </w:tblPrEx>
        <w:trPr>
          <w:trHeight w:val="4371" w:hRule="atLeast"/>
        </w:trPr>
        <w:tc>
          <w:tcPr>
            <w:tcW w:w="14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160" w:line="276" w:lineRule="auto"/>
              <w:jc w:val="center"/>
              <w:rPr>
                <w:rFonts w:hint="eastAsia" w:ascii="仿宋" w:hAnsi="仿宋" w:eastAsia="仿宋" w:cs="Times New Roman"/>
                <w:szCs w:val="21"/>
              </w:rPr>
            </w:pPr>
            <w:r>
              <w:rPr>
                <w:rFonts w:hint="eastAsia" w:ascii="仿宋" w:hAnsi="仿宋" w:eastAsia="仿宋" w:cs="Times New Roman"/>
                <w:szCs w:val="21"/>
              </w:rPr>
              <w:t>停办原因</w:t>
            </w:r>
          </w:p>
          <w:p>
            <w:pPr>
              <w:spacing w:after="160" w:line="276" w:lineRule="auto"/>
              <w:jc w:val="center"/>
              <w:rPr>
                <w:rFonts w:hint="eastAsia" w:ascii="仿宋" w:hAnsi="仿宋" w:eastAsia="仿宋" w:cs="Times New Roman"/>
                <w:szCs w:val="21"/>
              </w:rPr>
            </w:pPr>
            <w:r>
              <w:rPr>
                <w:rFonts w:hint="eastAsia" w:ascii="仿宋" w:hAnsi="仿宋" w:eastAsia="仿宋" w:cs="Times New Roman"/>
                <w:szCs w:val="21"/>
              </w:rPr>
              <w:t>说明</w:t>
            </w:r>
          </w:p>
        </w:tc>
        <w:tc>
          <w:tcPr>
            <w:tcW w:w="695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after="160" w:line="276" w:lineRule="auto"/>
              <w:rPr>
                <w:rFonts w:hint="eastAsia" w:ascii="仿宋" w:hAnsi="仿宋" w:eastAsia="仿宋" w:cs="Times New Roman"/>
                <w:szCs w:val="21"/>
              </w:rPr>
            </w:pPr>
          </w:p>
        </w:tc>
      </w:tr>
      <w:tr>
        <w:tblPrEx>
          <w:tblCellMar>
            <w:top w:w="0" w:type="dxa"/>
            <w:left w:w="108" w:type="dxa"/>
            <w:bottom w:w="0" w:type="dxa"/>
            <w:right w:w="108" w:type="dxa"/>
          </w:tblCellMar>
        </w:tblPrEx>
        <w:trPr>
          <w:trHeight w:val="3244" w:hRule="atLeast"/>
        </w:trPr>
        <w:tc>
          <w:tcPr>
            <w:tcW w:w="835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276" w:lineRule="auto"/>
              <w:rPr>
                <w:rFonts w:hint="eastAsia" w:ascii="仿宋" w:hAnsi="仿宋" w:eastAsia="仿宋" w:cs="Times New Roman"/>
                <w:szCs w:val="21"/>
              </w:rPr>
            </w:pPr>
          </w:p>
          <w:p>
            <w:pPr>
              <w:spacing w:after="160" w:line="276" w:lineRule="auto"/>
              <w:rPr>
                <w:rFonts w:hint="eastAsia" w:ascii="仿宋" w:hAnsi="仿宋" w:eastAsia="仿宋" w:cs="Times New Roman"/>
                <w:szCs w:val="21"/>
              </w:rPr>
            </w:pPr>
            <w:r>
              <w:rPr>
                <w:rFonts w:hint="eastAsia" w:ascii="仿宋" w:hAnsi="仿宋" w:eastAsia="仿宋" w:cs="Times New Roman"/>
                <w:szCs w:val="21"/>
              </w:rPr>
              <w:t>备案声明：</w:t>
            </w:r>
          </w:p>
          <w:p>
            <w:pPr>
              <w:spacing w:after="160" w:line="276" w:lineRule="auto"/>
              <w:rPr>
                <w:rFonts w:hint="eastAsia" w:ascii="仿宋" w:hAnsi="仿宋" w:eastAsia="仿宋" w:cs="Times New Roman"/>
                <w:szCs w:val="21"/>
              </w:rPr>
            </w:pPr>
          </w:p>
          <w:p>
            <w:pPr>
              <w:spacing w:after="160" w:line="276" w:lineRule="auto"/>
              <w:ind w:firstLine="465"/>
              <w:rPr>
                <w:rFonts w:hint="eastAsia" w:ascii="仿宋" w:hAnsi="仿宋" w:eastAsia="仿宋" w:cs="Times New Roman"/>
                <w:szCs w:val="21"/>
              </w:rPr>
            </w:pPr>
            <w:r>
              <w:rPr>
                <w:rFonts w:hint="eastAsia" w:ascii="仿宋" w:hAnsi="仿宋" w:eastAsia="仿宋" w:cs="Times New Roman"/>
                <w:szCs w:val="21"/>
              </w:rPr>
              <w:t>以上情况全部属实，如有不真实，愿承担由此引起的法律责任。</w:t>
            </w:r>
          </w:p>
          <w:p>
            <w:pPr>
              <w:spacing w:after="160" w:line="276" w:lineRule="auto"/>
              <w:ind w:firstLine="465"/>
              <w:rPr>
                <w:rFonts w:hint="eastAsia" w:ascii="仿宋" w:hAnsi="仿宋" w:eastAsia="仿宋" w:cs="Times New Roman"/>
                <w:szCs w:val="21"/>
              </w:rPr>
            </w:pPr>
          </w:p>
          <w:p>
            <w:pPr>
              <w:spacing w:after="160" w:line="276" w:lineRule="auto"/>
              <w:ind w:firstLine="465"/>
              <w:rPr>
                <w:rFonts w:hint="eastAsia" w:ascii="仿宋" w:hAnsi="仿宋" w:eastAsia="仿宋" w:cs="Times New Roman"/>
                <w:szCs w:val="21"/>
              </w:rPr>
            </w:pPr>
          </w:p>
          <w:p>
            <w:pPr>
              <w:spacing w:after="160" w:line="276" w:lineRule="auto"/>
              <w:ind w:firstLine="465"/>
              <w:rPr>
                <w:rFonts w:hint="eastAsia" w:ascii="仿宋" w:hAnsi="仿宋" w:eastAsia="仿宋" w:cs="Times New Roman"/>
                <w:szCs w:val="21"/>
              </w:rPr>
            </w:pPr>
          </w:p>
          <w:p>
            <w:pPr>
              <w:wordWrap w:val="0"/>
              <w:spacing w:after="160" w:line="276" w:lineRule="auto"/>
              <w:ind w:firstLine="465"/>
              <w:jc w:val="right"/>
              <w:rPr>
                <w:rFonts w:hint="eastAsia" w:ascii="仿宋" w:hAnsi="仿宋" w:eastAsia="仿宋" w:cs="Times New Roman"/>
                <w:szCs w:val="21"/>
              </w:rPr>
            </w:pPr>
            <w:r>
              <w:rPr>
                <w:rFonts w:hint="eastAsia" w:ascii="仿宋" w:hAnsi="仿宋" w:eastAsia="仿宋" w:cs="Times New Roman"/>
                <w:szCs w:val="21"/>
              </w:rPr>
              <w:t xml:space="preserve">备案银行签章      </w:t>
            </w:r>
          </w:p>
          <w:p>
            <w:pPr>
              <w:spacing w:after="160" w:line="276" w:lineRule="auto"/>
              <w:ind w:firstLine="465"/>
              <w:jc w:val="right"/>
              <w:rPr>
                <w:rFonts w:hint="eastAsia" w:ascii="仿宋" w:hAnsi="仿宋" w:eastAsia="仿宋" w:cs="Times New Roman"/>
                <w:szCs w:val="21"/>
              </w:rPr>
            </w:pPr>
          </w:p>
          <w:p>
            <w:pPr>
              <w:wordWrap w:val="0"/>
              <w:spacing w:after="160" w:line="276" w:lineRule="auto"/>
              <w:ind w:firstLine="465"/>
              <w:jc w:val="right"/>
              <w:rPr>
                <w:rFonts w:hint="eastAsia" w:ascii="仿宋" w:hAnsi="仿宋" w:eastAsia="仿宋" w:cs="Times New Roman"/>
                <w:szCs w:val="21"/>
              </w:rPr>
            </w:pPr>
            <w:r>
              <w:rPr>
                <w:rFonts w:hint="eastAsia" w:ascii="仿宋" w:hAnsi="仿宋" w:eastAsia="仿宋" w:cs="Times New Roman"/>
                <w:szCs w:val="21"/>
              </w:rPr>
              <w:t xml:space="preserve">  年  月  日       </w:t>
            </w:r>
          </w:p>
        </w:tc>
      </w:tr>
      <w:tr>
        <w:tblPrEx>
          <w:tblCellMar>
            <w:top w:w="0" w:type="dxa"/>
            <w:left w:w="108" w:type="dxa"/>
            <w:bottom w:w="0" w:type="dxa"/>
            <w:right w:w="108" w:type="dxa"/>
          </w:tblCellMar>
        </w:tblPrEx>
        <w:tc>
          <w:tcPr>
            <w:tcW w:w="8355" w:type="dxa"/>
            <w:gridSpan w:val="2"/>
            <w:tcBorders>
              <w:top w:val="single" w:color="000000" w:themeColor="text1" w:sz="4" w:space="0"/>
              <w:left w:val="nil"/>
              <w:bottom w:val="nil"/>
              <w:right w:val="nil"/>
            </w:tcBorders>
            <w:vAlign w:val="center"/>
          </w:tcPr>
          <w:p>
            <w:pPr>
              <w:spacing w:after="160" w:line="276" w:lineRule="auto"/>
              <w:rPr>
                <w:rFonts w:hint="eastAsia" w:ascii="仿宋" w:hAnsi="仿宋" w:eastAsia="仿宋" w:cs="Times New Roman"/>
                <w:szCs w:val="21"/>
              </w:rPr>
            </w:pPr>
            <w:r>
              <w:rPr>
                <w:rFonts w:hint="eastAsia" w:ascii="仿宋" w:hAnsi="仿宋" w:eastAsia="仿宋" w:cs="Times New Roman"/>
                <w:szCs w:val="21"/>
              </w:rPr>
              <w:t>附注：</w:t>
            </w:r>
          </w:p>
          <w:p>
            <w:pPr>
              <w:spacing w:after="160" w:line="276" w:lineRule="auto"/>
              <w:rPr>
                <w:rFonts w:hint="eastAsia" w:ascii="仿宋" w:hAnsi="仿宋" w:eastAsia="仿宋" w:cs="Times New Roman"/>
                <w:szCs w:val="21"/>
              </w:rPr>
            </w:pPr>
            <w:r>
              <w:rPr>
                <w:rFonts w:hint="eastAsia" w:ascii="仿宋" w:hAnsi="仿宋" w:eastAsia="仿宋" w:cs="Times New Roman"/>
                <w:szCs w:val="21"/>
              </w:rPr>
              <w:t>1.本表仅适用于境内商业银行总行（或外国银行分行）。</w:t>
            </w:r>
          </w:p>
          <w:p>
            <w:pPr>
              <w:spacing w:after="160" w:line="276" w:lineRule="auto"/>
              <w:rPr>
                <w:rFonts w:hint="eastAsia" w:ascii="仿宋" w:hAnsi="仿宋" w:eastAsia="仿宋" w:cs="Times New Roman"/>
                <w:szCs w:val="21"/>
              </w:rPr>
            </w:pPr>
            <w:r>
              <w:rPr>
                <w:rFonts w:hint="eastAsia" w:ascii="仿宋" w:hAnsi="仿宋" w:eastAsia="仿宋" w:cs="Times New Roman"/>
                <w:szCs w:val="21"/>
              </w:rPr>
              <w:t>2.备案银行名称及社会统一信用代码应与工商营业执照信息一致。</w:t>
            </w:r>
          </w:p>
          <w:p>
            <w:pPr>
              <w:spacing w:after="160" w:line="276" w:lineRule="auto"/>
              <w:rPr>
                <w:rFonts w:hint="eastAsia" w:ascii="仿宋" w:hAnsi="仿宋" w:eastAsia="仿宋" w:cs="Times New Roman"/>
                <w:szCs w:val="21"/>
              </w:rPr>
            </w:pPr>
            <w:r>
              <w:rPr>
                <w:rFonts w:hint="eastAsia" w:ascii="仿宋" w:hAnsi="仿宋" w:eastAsia="仿宋" w:cs="Times New Roman"/>
                <w:szCs w:val="21"/>
              </w:rPr>
              <w:t>3.“停办时间”是指正式停止办理调运外币现钞进出境业务的日期。</w:t>
            </w:r>
          </w:p>
          <w:p>
            <w:pPr>
              <w:spacing w:after="160" w:line="276" w:lineRule="auto"/>
              <w:rPr>
                <w:rFonts w:hint="eastAsia" w:ascii="仿宋" w:hAnsi="仿宋" w:eastAsia="仿宋" w:cs="Times New Roman"/>
                <w:szCs w:val="21"/>
              </w:rPr>
            </w:pPr>
          </w:p>
        </w:tc>
      </w:tr>
    </w:tbl>
    <w:p>
      <w:pPr>
        <w:rPr>
          <w:rFonts w:hint="eastAsia" w:ascii="仿宋" w:hAnsi="仿宋" w:eastAsia="仿宋" w:cs="Times New Roman"/>
          <w:szCs w:val="21"/>
        </w:rPr>
      </w:pPr>
    </w:p>
    <w:p>
      <w:pPr>
        <w:widowControl/>
        <w:jc w:val="left"/>
        <w:rPr>
          <w:rFonts w:hint="eastAsia" w:ascii="仿宋" w:hAnsi="仿宋" w:eastAsia="仿宋" w:cs="Times New Roman"/>
          <w:szCs w:val="21"/>
        </w:rPr>
      </w:pPr>
      <w:r>
        <w:rPr>
          <w:rFonts w:hint="eastAsia" w:ascii="仿宋" w:hAnsi="仿宋" w:eastAsia="仿宋" w:cs="Times New Roman"/>
          <w:szCs w:val="21"/>
        </w:rPr>
        <w:br w:type="page"/>
      </w:r>
    </w:p>
    <w:p>
      <w:pPr>
        <w:rPr>
          <w:rFonts w:hint="eastAsia" w:ascii="仿宋" w:hAnsi="仿宋" w:eastAsia="仿宋" w:cs="Times New Roman"/>
          <w:szCs w:val="21"/>
        </w:rPr>
      </w:pPr>
    </w:p>
    <w:p>
      <w:pPr>
        <w:spacing w:line="360" w:lineRule="auto"/>
        <w:rPr>
          <w:rFonts w:hint="eastAsia" w:ascii="仿宋" w:hAnsi="仿宋" w:eastAsia="仿宋" w:cs="Times New Roman"/>
          <w:szCs w:val="21"/>
        </w:rPr>
      </w:pPr>
      <w:r>
        <w:rPr>
          <w:rFonts w:hint="eastAsia" w:ascii="仿宋" w:hAnsi="仿宋" w:eastAsia="仿宋" w:cs="Times New Roman"/>
          <w:szCs w:val="21"/>
        </w:rPr>
        <w:t>附表3</w:t>
      </w:r>
    </w:p>
    <w:p>
      <w:pPr>
        <w:spacing w:line="360" w:lineRule="auto"/>
        <w:rPr>
          <w:rFonts w:hint="eastAsia" w:ascii="仿宋" w:hAnsi="仿宋" w:eastAsia="仿宋" w:cs="Times New Roman"/>
          <w:szCs w:val="21"/>
        </w:rPr>
      </w:pPr>
    </w:p>
    <w:p>
      <w:pPr>
        <w:spacing w:line="360" w:lineRule="auto"/>
        <w:jc w:val="center"/>
        <w:rPr>
          <w:rFonts w:hint="eastAsia" w:ascii="仿宋" w:hAnsi="仿宋" w:eastAsia="仿宋" w:cs="Times New Roman"/>
          <w:b/>
          <w:spacing w:val="-20"/>
          <w:szCs w:val="21"/>
        </w:rPr>
      </w:pPr>
      <w:r>
        <w:rPr>
          <w:rFonts w:hint="eastAsia" w:ascii="仿宋" w:hAnsi="仿宋" w:eastAsia="仿宋" w:cs="Times New Roman"/>
          <w:b/>
          <w:spacing w:val="-20"/>
          <w:szCs w:val="21"/>
        </w:rPr>
        <w:t>调运外币现钞进出境统计表</w:t>
      </w:r>
    </w:p>
    <w:p>
      <w:pPr>
        <w:spacing w:before="156" w:beforeLines="50" w:line="360" w:lineRule="auto"/>
        <w:rPr>
          <w:rFonts w:hint="eastAsia" w:ascii="仿宋" w:hAnsi="仿宋" w:eastAsia="仿宋" w:cs="Times New Roman"/>
          <w:szCs w:val="21"/>
        </w:rPr>
      </w:pPr>
    </w:p>
    <w:p>
      <w:pPr>
        <w:spacing w:before="156" w:beforeLines="50" w:line="360" w:lineRule="auto"/>
        <w:rPr>
          <w:rFonts w:hint="eastAsia" w:ascii="仿宋" w:hAnsi="仿宋" w:eastAsia="仿宋" w:cs="Times New Roman"/>
          <w:szCs w:val="21"/>
        </w:rPr>
      </w:pPr>
      <w:r>
        <w:rPr>
          <w:rFonts w:hint="eastAsia" w:ascii="仿宋" w:hAnsi="仿宋" w:eastAsia="仿宋" w:cs="Times New Roman"/>
          <w:szCs w:val="21"/>
        </w:rPr>
        <w:t>调运机构名称：                                金额单位：万（外币单位）</w:t>
      </w:r>
    </w:p>
    <w:tbl>
      <w:tblPr>
        <w:tblStyle w:val="58"/>
        <w:tblW w:w="83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1439"/>
        <w:gridCol w:w="1338"/>
        <w:gridCol w:w="1339"/>
        <w:gridCol w:w="1470"/>
        <w:gridCol w:w="1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vMerge w:val="restart"/>
            <w:tcBorders>
              <w:top w:val="single" w:color="auto" w:sz="4" w:space="0"/>
              <w:left w:val="single" w:color="auto" w:sz="4" w:space="0"/>
              <w:bottom w:val="single" w:color="auto" w:sz="4" w:space="0"/>
              <w:right w:val="single" w:color="auto" w:sz="4" w:space="0"/>
            </w:tcBorders>
            <w:vAlign w:val="center"/>
          </w:tcPr>
          <w:p>
            <w:pPr>
              <w:spacing w:after="160" w:line="360" w:lineRule="auto"/>
              <w:jc w:val="center"/>
              <w:rPr>
                <w:rFonts w:hint="eastAsia" w:ascii="仿宋" w:hAnsi="仿宋" w:eastAsia="仿宋" w:cs="Times New Roman"/>
                <w:szCs w:val="21"/>
              </w:rPr>
            </w:pPr>
            <w:r>
              <w:rPr>
                <w:rFonts w:hint="eastAsia" w:ascii="仿宋" w:hAnsi="仿宋" w:eastAsia="仿宋" w:cs="Times New Roman"/>
                <w:szCs w:val="21"/>
              </w:rPr>
              <w:t>口岸</w:t>
            </w:r>
          </w:p>
        </w:tc>
        <w:tc>
          <w:tcPr>
            <w:tcW w:w="1439" w:type="dxa"/>
            <w:vMerge w:val="restart"/>
            <w:tcBorders>
              <w:top w:val="single" w:color="auto" w:sz="4" w:space="0"/>
              <w:left w:val="single" w:color="auto" w:sz="4" w:space="0"/>
              <w:bottom w:val="single" w:color="auto" w:sz="4" w:space="0"/>
              <w:right w:val="single" w:color="auto" w:sz="4" w:space="0"/>
            </w:tcBorders>
            <w:vAlign w:val="center"/>
          </w:tcPr>
          <w:p>
            <w:pPr>
              <w:spacing w:after="160" w:line="360" w:lineRule="auto"/>
              <w:jc w:val="center"/>
              <w:rPr>
                <w:rFonts w:hint="eastAsia" w:ascii="仿宋" w:hAnsi="仿宋" w:eastAsia="仿宋" w:cs="Times New Roman"/>
                <w:szCs w:val="21"/>
              </w:rPr>
            </w:pPr>
            <w:r>
              <w:rPr>
                <w:rFonts w:hint="eastAsia" w:ascii="仿宋" w:hAnsi="仿宋" w:eastAsia="仿宋" w:cs="Times New Roman"/>
                <w:szCs w:val="21"/>
              </w:rPr>
              <w:t>币种</w:t>
            </w:r>
          </w:p>
        </w:tc>
        <w:tc>
          <w:tcPr>
            <w:tcW w:w="2677" w:type="dxa"/>
            <w:gridSpan w:val="2"/>
            <w:tcBorders>
              <w:top w:val="single" w:color="auto" w:sz="4" w:space="0"/>
              <w:left w:val="single" w:color="auto" w:sz="4" w:space="0"/>
              <w:bottom w:val="single" w:color="auto" w:sz="4" w:space="0"/>
              <w:right w:val="single" w:color="auto" w:sz="4" w:space="0"/>
            </w:tcBorders>
          </w:tcPr>
          <w:p>
            <w:pPr>
              <w:spacing w:after="160" w:line="360" w:lineRule="auto"/>
              <w:jc w:val="center"/>
              <w:rPr>
                <w:rFonts w:hint="eastAsia" w:ascii="仿宋" w:hAnsi="仿宋" w:eastAsia="仿宋" w:cs="Times New Roman"/>
                <w:szCs w:val="21"/>
              </w:rPr>
            </w:pPr>
            <w:r>
              <w:rPr>
                <w:rFonts w:hint="eastAsia" w:ascii="仿宋" w:hAnsi="仿宋" w:eastAsia="仿宋" w:cs="Times New Roman"/>
                <w:szCs w:val="21"/>
              </w:rPr>
              <w:t>调钞入境</w:t>
            </w:r>
          </w:p>
        </w:tc>
        <w:tc>
          <w:tcPr>
            <w:tcW w:w="2809" w:type="dxa"/>
            <w:gridSpan w:val="2"/>
            <w:tcBorders>
              <w:top w:val="single" w:color="auto" w:sz="4" w:space="0"/>
              <w:left w:val="single" w:color="auto" w:sz="4" w:space="0"/>
              <w:bottom w:val="single" w:color="auto" w:sz="4" w:space="0"/>
              <w:right w:val="single" w:color="auto" w:sz="4" w:space="0"/>
            </w:tcBorders>
          </w:tcPr>
          <w:p>
            <w:pPr>
              <w:spacing w:after="160" w:line="360" w:lineRule="auto"/>
              <w:jc w:val="center"/>
              <w:rPr>
                <w:rFonts w:hint="eastAsia" w:ascii="仿宋" w:hAnsi="仿宋" w:eastAsia="仿宋" w:cs="Times New Roman"/>
                <w:szCs w:val="21"/>
              </w:rPr>
            </w:pPr>
            <w:r>
              <w:rPr>
                <w:rFonts w:hint="eastAsia" w:ascii="仿宋" w:hAnsi="仿宋" w:eastAsia="仿宋" w:cs="Times New Roman"/>
                <w:szCs w:val="21"/>
              </w:rPr>
              <w:t>调钞出境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szCs w:val="21"/>
              </w:rPr>
            </w:pPr>
          </w:p>
        </w:tc>
        <w:tc>
          <w:tcPr>
            <w:tcW w:w="1439"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jc w:val="left"/>
              <w:rPr>
                <w:rFonts w:hint="eastAsia" w:ascii="仿宋" w:hAnsi="仿宋" w:eastAsia="仿宋" w:cs="Times New Roman"/>
                <w:szCs w:val="21"/>
              </w:rPr>
            </w:pPr>
          </w:p>
        </w:tc>
        <w:tc>
          <w:tcPr>
            <w:tcW w:w="1338" w:type="dxa"/>
            <w:tcBorders>
              <w:top w:val="single" w:color="auto" w:sz="4" w:space="0"/>
              <w:left w:val="single" w:color="auto" w:sz="4" w:space="0"/>
              <w:bottom w:val="single" w:color="auto" w:sz="4" w:space="0"/>
              <w:right w:val="single" w:color="auto" w:sz="4" w:space="0"/>
            </w:tcBorders>
          </w:tcPr>
          <w:p>
            <w:pPr>
              <w:spacing w:after="160" w:line="360" w:lineRule="auto"/>
              <w:jc w:val="center"/>
              <w:rPr>
                <w:rFonts w:hint="eastAsia" w:ascii="仿宋" w:hAnsi="仿宋" w:eastAsia="仿宋" w:cs="Times New Roman"/>
                <w:szCs w:val="21"/>
              </w:rPr>
            </w:pPr>
            <w:r>
              <w:rPr>
                <w:rFonts w:hint="eastAsia" w:ascii="仿宋" w:hAnsi="仿宋" w:eastAsia="仿宋" w:cs="Times New Roman"/>
                <w:szCs w:val="21"/>
              </w:rPr>
              <w:t>原币金额</w:t>
            </w:r>
          </w:p>
        </w:tc>
        <w:tc>
          <w:tcPr>
            <w:tcW w:w="1339" w:type="dxa"/>
            <w:tcBorders>
              <w:top w:val="single" w:color="auto" w:sz="4" w:space="0"/>
              <w:left w:val="single" w:color="auto" w:sz="4" w:space="0"/>
              <w:bottom w:val="single" w:color="auto" w:sz="4" w:space="0"/>
              <w:right w:val="single" w:color="auto" w:sz="4" w:space="0"/>
            </w:tcBorders>
          </w:tcPr>
          <w:p>
            <w:pPr>
              <w:spacing w:after="160" w:line="360" w:lineRule="auto"/>
              <w:jc w:val="center"/>
              <w:rPr>
                <w:rFonts w:hint="eastAsia" w:ascii="仿宋" w:hAnsi="仿宋" w:eastAsia="仿宋" w:cs="Times New Roman"/>
                <w:szCs w:val="21"/>
              </w:rPr>
            </w:pPr>
            <w:r>
              <w:rPr>
                <w:rFonts w:hint="eastAsia" w:ascii="仿宋" w:hAnsi="仿宋" w:eastAsia="仿宋" w:cs="Times New Roman"/>
                <w:szCs w:val="21"/>
              </w:rPr>
              <w:t>折美元</w:t>
            </w:r>
          </w:p>
        </w:tc>
        <w:tc>
          <w:tcPr>
            <w:tcW w:w="1470" w:type="dxa"/>
            <w:tcBorders>
              <w:top w:val="single" w:color="auto" w:sz="4" w:space="0"/>
              <w:left w:val="single" w:color="auto" w:sz="4" w:space="0"/>
              <w:bottom w:val="single" w:color="auto" w:sz="4" w:space="0"/>
              <w:right w:val="single" w:color="auto" w:sz="4" w:space="0"/>
            </w:tcBorders>
          </w:tcPr>
          <w:p>
            <w:pPr>
              <w:spacing w:after="160" w:line="360" w:lineRule="auto"/>
              <w:jc w:val="center"/>
              <w:rPr>
                <w:rFonts w:hint="eastAsia" w:ascii="仿宋" w:hAnsi="仿宋" w:eastAsia="仿宋" w:cs="Times New Roman"/>
                <w:szCs w:val="21"/>
              </w:rPr>
            </w:pPr>
            <w:r>
              <w:rPr>
                <w:rFonts w:hint="eastAsia" w:ascii="仿宋" w:hAnsi="仿宋" w:eastAsia="仿宋" w:cs="Times New Roman"/>
                <w:szCs w:val="21"/>
              </w:rPr>
              <w:t>原币金额</w:t>
            </w:r>
          </w:p>
        </w:tc>
        <w:tc>
          <w:tcPr>
            <w:tcW w:w="1339" w:type="dxa"/>
            <w:tcBorders>
              <w:top w:val="single" w:color="auto" w:sz="4" w:space="0"/>
              <w:left w:val="single" w:color="auto" w:sz="4" w:space="0"/>
              <w:bottom w:val="single" w:color="auto" w:sz="4" w:space="0"/>
              <w:right w:val="single" w:color="auto" w:sz="4" w:space="0"/>
            </w:tcBorders>
          </w:tcPr>
          <w:p>
            <w:pPr>
              <w:spacing w:after="160" w:line="360" w:lineRule="auto"/>
              <w:jc w:val="center"/>
              <w:rPr>
                <w:rFonts w:hint="eastAsia" w:ascii="仿宋" w:hAnsi="仿宋" w:eastAsia="仿宋" w:cs="Times New Roman"/>
                <w:szCs w:val="21"/>
              </w:rPr>
            </w:pPr>
            <w:r>
              <w:rPr>
                <w:rFonts w:hint="eastAsia" w:ascii="仿宋" w:hAnsi="仿宋" w:eastAsia="仿宋" w:cs="Times New Roman"/>
                <w:szCs w:val="21"/>
              </w:rPr>
              <w:t>折美元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439"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338"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339"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470"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339"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439"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338"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339"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470"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339"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439"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338"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339"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470"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339"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439"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338"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339"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470"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339"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439"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338"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339"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470"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c>
          <w:tcPr>
            <w:tcW w:w="1339" w:type="dxa"/>
            <w:tcBorders>
              <w:top w:val="single" w:color="auto" w:sz="4" w:space="0"/>
              <w:left w:val="single" w:color="auto" w:sz="4" w:space="0"/>
              <w:bottom w:val="single" w:color="auto" w:sz="4" w:space="0"/>
              <w:right w:val="single" w:color="auto" w:sz="4" w:space="0"/>
            </w:tcBorders>
          </w:tcPr>
          <w:p>
            <w:pPr>
              <w:spacing w:after="160" w:line="360" w:lineRule="auto"/>
              <w:rPr>
                <w:rFonts w:hint="eastAsia" w:ascii="仿宋" w:hAnsi="仿宋" w:eastAsia="仿宋" w:cs="Times New Roman"/>
                <w:szCs w:val="21"/>
              </w:rPr>
            </w:pPr>
          </w:p>
        </w:tc>
      </w:tr>
    </w:tbl>
    <w:p>
      <w:pPr>
        <w:spacing w:line="360" w:lineRule="auto"/>
        <w:rPr>
          <w:rFonts w:hint="eastAsia" w:ascii="仿宋" w:hAnsi="仿宋" w:eastAsia="仿宋" w:cs="Times New Roman"/>
          <w:szCs w:val="21"/>
        </w:rPr>
      </w:pPr>
      <w:r>
        <w:rPr>
          <w:rFonts w:hint="eastAsia" w:ascii="仿宋" w:hAnsi="仿宋" w:eastAsia="仿宋" w:cs="Times New Roman"/>
          <w:szCs w:val="21"/>
        </w:rPr>
        <w:t>制表人               负责人                  填表日期</w:t>
      </w:r>
    </w:p>
    <w:p>
      <w:pPr>
        <w:spacing w:line="360" w:lineRule="auto"/>
        <w:rPr>
          <w:rFonts w:hint="eastAsia" w:ascii="仿宋" w:hAnsi="仿宋" w:eastAsia="仿宋" w:cs="Times New Roman"/>
          <w:szCs w:val="21"/>
        </w:rPr>
      </w:pPr>
      <w:r>
        <w:rPr>
          <w:rFonts w:hint="eastAsia" w:ascii="仿宋" w:hAnsi="仿宋" w:eastAsia="仿宋" w:cs="Times New Roman"/>
          <w:szCs w:val="21"/>
        </w:rPr>
        <w:t>附注：</w:t>
      </w:r>
    </w:p>
    <w:p>
      <w:pPr>
        <w:spacing w:line="360" w:lineRule="auto"/>
        <w:rPr>
          <w:rFonts w:hint="eastAsia" w:ascii="仿宋" w:hAnsi="仿宋" w:eastAsia="仿宋" w:cs="Times New Roman"/>
          <w:szCs w:val="21"/>
        </w:rPr>
      </w:pPr>
      <w:r>
        <w:rPr>
          <w:rFonts w:hint="eastAsia" w:ascii="仿宋" w:hAnsi="仿宋" w:eastAsia="仿宋" w:cs="Times New Roman"/>
          <w:szCs w:val="21"/>
        </w:rPr>
        <w:t>1.本表按季度报送，于每季度后10个工作日内报所在地外汇局。</w:t>
      </w:r>
    </w:p>
    <w:p>
      <w:pPr>
        <w:spacing w:line="360" w:lineRule="auto"/>
        <w:rPr>
          <w:rFonts w:hint="eastAsia" w:ascii="仿宋" w:hAnsi="仿宋" w:eastAsia="仿宋" w:cs="Times New Roman"/>
          <w:szCs w:val="21"/>
        </w:rPr>
      </w:pPr>
      <w:r>
        <w:rPr>
          <w:rFonts w:hint="eastAsia" w:ascii="仿宋" w:hAnsi="仿宋" w:eastAsia="仿宋" w:cs="Times New Roman"/>
          <w:szCs w:val="21"/>
        </w:rPr>
        <w:t>2.本表中需要填报金额的事项，小数点后保留两位。</w:t>
      </w:r>
    </w:p>
    <w:p>
      <w:pPr>
        <w:adjustRightInd w:val="0"/>
        <w:snapToGrid w:val="0"/>
        <w:spacing w:line="312" w:lineRule="auto"/>
        <w:jc w:val="left"/>
        <w:rPr>
          <w:rFonts w:hint="eastAsia" w:ascii="仿宋" w:hAnsi="仿宋" w:eastAsia="仿宋"/>
        </w:rPr>
      </w:pPr>
    </w:p>
    <w:p>
      <w:pPr>
        <w:adjustRightInd w:val="0"/>
        <w:snapToGrid w:val="0"/>
        <w:spacing w:line="300" w:lineRule="auto"/>
        <w:ind w:firstLine="420" w:firstLineChars="200"/>
        <w:rPr>
          <w:rFonts w:hint="eastAsia" w:ascii="仿宋" w:hAnsi="仿宋" w:eastAsia="仿宋"/>
          <w:szCs w:val="21"/>
        </w:rPr>
      </w:pPr>
    </w:p>
    <w:p>
      <w:pPr>
        <w:rPr>
          <w:rFonts w:hint="eastAsia" w:ascii="仿宋" w:hAnsi="仿宋" w:eastAsia="仿宋"/>
        </w:rPr>
      </w:pP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