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209" w:name="_Toc2915"/>
      <w:r>
        <w:rPr>
          <w:rFonts w:hint="eastAsia" w:ascii="仿宋" w:hAnsi="仿宋" w:eastAsia="仿宋"/>
          <w:sz w:val="21"/>
          <w:szCs w:val="21"/>
        </w:rPr>
        <w:t>38</w:t>
      </w:r>
      <w:r>
        <w:rPr>
          <w:rFonts w:ascii="仿宋" w:hAnsi="仿宋" w:eastAsia="仿宋"/>
          <w:sz w:val="21"/>
          <w:szCs w:val="21"/>
        </w:rPr>
        <w:t>.4</w:t>
      </w:r>
      <w:r>
        <w:rPr>
          <w:rFonts w:hint="eastAsia" w:ascii="仿宋" w:hAnsi="仿宋" w:eastAsia="仿宋"/>
          <w:sz w:val="21"/>
          <w:szCs w:val="21"/>
        </w:rPr>
        <w:t>服务贸易外汇业务政策问答（四）</w:t>
      </w:r>
      <w:bookmarkEnd w:id="209"/>
    </w:p>
    <w:p>
      <w:pPr>
        <w:autoSpaceDE w:val="0"/>
        <w:autoSpaceDN w:val="0"/>
        <w:adjustRightInd w:val="0"/>
        <w:snapToGrid w:val="0"/>
        <w:spacing w:line="312" w:lineRule="auto"/>
        <w:ind w:firstLine="422" w:firstLineChars="200"/>
        <w:jc w:val="center"/>
        <w:rPr>
          <w:rFonts w:hint="eastAsia" w:ascii="仿宋" w:hAnsi="仿宋" w:eastAsia="仿宋" w:cs="宋体"/>
          <w:b/>
          <w:bCs/>
          <w:color w:val="000000"/>
          <w:kern w:val="0"/>
          <w:szCs w:val="36"/>
        </w:rPr>
      </w:pPr>
      <w:r>
        <w:rPr>
          <w:rFonts w:ascii="仿宋" w:hAnsi="仿宋" w:eastAsia="仿宋" w:cs="宋体"/>
          <w:b/>
          <w:bCs/>
          <w:color w:val="000000"/>
          <w:kern w:val="0"/>
          <w:szCs w:val="36"/>
        </w:rPr>
        <w:t>https://www.safe.gov.cn/safe/2021/0702/19309.html</w:t>
      </w:r>
    </w:p>
    <w:p>
      <w:pPr>
        <w:autoSpaceDE w:val="0"/>
        <w:autoSpaceDN w:val="0"/>
        <w:adjustRightInd w:val="0"/>
        <w:snapToGrid w:val="0"/>
        <w:spacing w:line="312" w:lineRule="auto"/>
        <w:ind w:firstLine="422" w:firstLineChars="200"/>
        <w:rPr>
          <w:rFonts w:hint="eastAsia" w:ascii="仿宋" w:hAnsi="仿宋" w:eastAsia="仿宋" w:cs="宋体"/>
          <w:b/>
          <w:bCs/>
          <w:color w:val="000000"/>
          <w:kern w:val="0"/>
          <w:szCs w:val="32"/>
          <w:lang w:val="zh-CN"/>
        </w:rPr>
      </w:pPr>
      <w:r>
        <w:rPr>
          <w:rFonts w:hint="eastAsia" w:ascii="仿宋" w:hAnsi="仿宋" w:eastAsia="仿宋" w:cs="宋体"/>
          <w:b/>
          <w:bCs/>
          <w:color w:val="000000"/>
          <w:kern w:val="0"/>
          <w:szCs w:val="32"/>
          <w:lang w:val="zh-CN"/>
        </w:rPr>
        <w:t>问题</w:t>
      </w:r>
      <w:r>
        <w:rPr>
          <w:rFonts w:ascii="仿宋" w:hAnsi="仿宋" w:eastAsia="仿宋" w:cs="Times New Roman"/>
          <w:b/>
          <w:bCs/>
          <w:color w:val="000000"/>
          <w:kern w:val="0"/>
          <w:szCs w:val="32"/>
          <w:lang w:val="zh-CN"/>
        </w:rPr>
        <w:t>1</w:t>
      </w:r>
      <w:r>
        <w:rPr>
          <w:rFonts w:hint="eastAsia" w:ascii="仿宋" w:hAnsi="仿宋" w:eastAsia="仿宋" w:cs="宋体"/>
          <w:b/>
          <w:bCs/>
          <w:color w:val="000000"/>
          <w:kern w:val="0"/>
          <w:szCs w:val="32"/>
          <w:lang w:val="zh-CN"/>
        </w:rPr>
        <w:t>：近日，税务部门和外汇管理部门发布公告，同一笔合同在付汇首次超过等值</w:t>
      </w:r>
      <w:r>
        <w:rPr>
          <w:rFonts w:ascii="仿宋" w:hAnsi="仿宋" w:eastAsia="仿宋" w:cs="Times New Roman"/>
          <w:b/>
          <w:bCs/>
          <w:color w:val="000000"/>
          <w:kern w:val="0"/>
          <w:szCs w:val="32"/>
          <w:lang w:val="zh-CN"/>
        </w:rPr>
        <w:t>5</w:t>
      </w:r>
      <w:r>
        <w:rPr>
          <w:rFonts w:hint="eastAsia" w:ascii="仿宋" w:hAnsi="仿宋" w:eastAsia="仿宋" w:cs="宋体"/>
          <w:b/>
          <w:bCs/>
          <w:color w:val="000000"/>
          <w:kern w:val="0"/>
          <w:szCs w:val="32"/>
          <w:lang w:val="zh-CN"/>
        </w:rPr>
        <w:t>万美元时应进行税务备案，服务贸易对外支付税务备案信息网上核验功能是否支持</w:t>
      </w:r>
      <w:r>
        <w:rPr>
          <w:rFonts w:ascii="仿宋" w:hAnsi="仿宋" w:eastAsia="仿宋" w:cs="宋体"/>
          <w:b/>
          <w:bCs/>
          <w:color w:val="000000"/>
          <w:kern w:val="0"/>
          <w:szCs w:val="32"/>
          <w:lang w:val="zh-CN"/>
        </w:rPr>
        <w:t>“</w:t>
      </w:r>
      <w:r>
        <w:rPr>
          <w:rFonts w:hint="eastAsia" w:ascii="仿宋" w:hAnsi="仿宋" w:eastAsia="仿宋" w:cs="宋体"/>
          <w:b/>
          <w:bCs/>
          <w:color w:val="000000"/>
          <w:kern w:val="0"/>
          <w:szCs w:val="32"/>
          <w:lang w:val="zh-CN"/>
        </w:rPr>
        <w:t>一次备案、多次付汇</w:t>
      </w:r>
      <w:r>
        <w:rPr>
          <w:rFonts w:ascii="仿宋" w:hAnsi="仿宋" w:eastAsia="仿宋" w:cs="宋体"/>
          <w:b/>
          <w:bCs/>
          <w:color w:val="000000"/>
          <w:kern w:val="0"/>
          <w:szCs w:val="32"/>
          <w:lang w:val="zh-CN"/>
        </w:rPr>
        <w:t>”</w:t>
      </w:r>
      <w:r>
        <w:rPr>
          <w:rFonts w:hint="eastAsia" w:ascii="仿宋" w:hAnsi="仿宋" w:eastAsia="仿宋" w:cs="宋体"/>
          <w:b/>
          <w:bCs/>
          <w:color w:val="000000"/>
          <w:kern w:val="0"/>
          <w:szCs w:val="32"/>
          <w:lang w:val="zh-CN"/>
        </w:rPr>
        <w:t>？</w:t>
      </w:r>
    </w:p>
    <w:p>
      <w:pPr>
        <w:autoSpaceDE w:val="0"/>
        <w:autoSpaceDN w:val="0"/>
        <w:adjustRightInd w:val="0"/>
        <w:snapToGrid w:val="0"/>
        <w:spacing w:line="312" w:lineRule="auto"/>
        <w:ind w:firstLine="422" w:firstLineChars="200"/>
        <w:rPr>
          <w:rFonts w:hint="eastAsia" w:ascii="仿宋" w:hAnsi="仿宋" w:eastAsia="仿宋" w:cs="宋体"/>
          <w:b/>
          <w:color w:val="000000"/>
          <w:kern w:val="0"/>
          <w:szCs w:val="32"/>
          <w:lang w:val="zh-CN"/>
        </w:rPr>
      </w:pPr>
      <w:r>
        <w:rPr>
          <w:rFonts w:hint="eastAsia" w:ascii="仿宋" w:hAnsi="仿宋" w:eastAsia="仿宋" w:cs="宋体"/>
          <w:b/>
          <w:bCs/>
          <w:color w:val="000000"/>
          <w:kern w:val="0"/>
          <w:szCs w:val="32"/>
          <w:lang w:val="zh-CN"/>
        </w:rPr>
        <w:t>答：</w:t>
      </w:r>
      <w:r>
        <w:rPr>
          <w:rFonts w:hint="eastAsia" w:ascii="仿宋" w:hAnsi="仿宋" w:eastAsia="仿宋" w:cs="宋体"/>
          <w:color w:val="000000"/>
          <w:kern w:val="0"/>
          <w:szCs w:val="32"/>
          <w:lang w:val="zh-CN"/>
        </w:rPr>
        <w:t>国家外汇管理局已对服务贸易对外支付税务备案信息网上核验功能进行升级（以下简称新功能）。对于单笔合同分多次支付的，在境内机构和个人按规定完成税务备案手续后，银行应根据实际支付需要，办理多次核验。为便利银行操作，新功能的权限设置、核验入口、登录账号和密码保持不变，即银行仍通过</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数字外管</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平台互联网版（</w:t>
      </w:r>
      <w:r>
        <w:rPr>
          <w:rFonts w:ascii="仿宋" w:hAnsi="仿宋" w:eastAsia="仿宋" w:cs="Times New Roman"/>
          <w:color w:val="000000"/>
          <w:kern w:val="0"/>
          <w:szCs w:val="32"/>
          <w:lang w:val="zh-CN"/>
        </w:rPr>
        <w:t>http://zwfw.safe.gov.cn/asone</w:t>
      </w:r>
      <w:r>
        <w:rPr>
          <w:rFonts w:hint="eastAsia" w:ascii="仿宋" w:hAnsi="仿宋" w:eastAsia="仿宋" w:cs="宋体"/>
          <w:color w:val="000000"/>
          <w:kern w:val="0"/>
          <w:szCs w:val="32"/>
          <w:lang w:val="zh-CN"/>
        </w:rPr>
        <w:t>）</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服务贸易税务备案信息银行核验</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税务备案信息核验</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模块核验税务备案信息，详情参见新版用户手册（详见</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数字外管</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平台互联网版</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常用下载</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栏目。同时，银行应随时关注国家外汇管理局银行信息门户网（</w:t>
      </w:r>
      <w:r>
        <w:rPr>
          <w:rFonts w:ascii="仿宋" w:hAnsi="仿宋" w:eastAsia="仿宋" w:cs="Times New Roman"/>
          <w:color w:val="000000"/>
          <w:kern w:val="0"/>
          <w:szCs w:val="32"/>
          <w:lang w:val="zh-CN"/>
        </w:rPr>
        <w:t>http://banksvc.safe</w:t>
      </w:r>
      <w:r>
        <w:rPr>
          <w:rFonts w:hint="eastAsia" w:ascii="仿宋" w:hAnsi="仿宋" w:eastAsia="仿宋" w:cs="宋体"/>
          <w:color w:val="000000"/>
          <w:kern w:val="0"/>
          <w:szCs w:val="32"/>
          <w:lang w:val="zh-CN"/>
        </w:rPr>
        <w:t>）发布的关于税务备案信息核验的最新通知。</w:t>
      </w:r>
    </w:p>
    <w:p>
      <w:pPr>
        <w:autoSpaceDE w:val="0"/>
        <w:autoSpaceDN w:val="0"/>
        <w:adjustRightInd w:val="0"/>
        <w:snapToGrid w:val="0"/>
        <w:spacing w:line="312" w:lineRule="auto"/>
        <w:ind w:firstLine="422" w:firstLineChars="200"/>
        <w:rPr>
          <w:rFonts w:hint="eastAsia" w:ascii="仿宋" w:hAnsi="仿宋" w:eastAsia="仿宋" w:cs="宋体"/>
          <w:b/>
          <w:color w:val="000000"/>
          <w:kern w:val="0"/>
          <w:szCs w:val="32"/>
          <w:lang w:val="zh-CN"/>
        </w:rPr>
      </w:pPr>
    </w:p>
    <w:p>
      <w:pPr>
        <w:autoSpaceDE w:val="0"/>
        <w:autoSpaceDN w:val="0"/>
        <w:adjustRightInd w:val="0"/>
        <w:snapToGrid w:val="0"/>
        <w:spacing w:line="312" w:lineRule="auto"/>
        <w:ind w:firstLine="422" w:firstLineChars="200"/>
        <w:rPr>
          <w:rFonts w:hint="eastAsia" w:ascii="仿宋" w:hAnsi="仿宋" w:eastAsia="仿宋" w:cs="宋体"/>
          <w:b/>
          <w:bCs/>
          <w:color w:val="000000"/>
          <w:kern w:val="0"/>
          <w:szCs w:val="32"/>
          <w:lang w:val="zh-CN"/>
        </w:rPr>
      </w:pPr>
      <w:r>
        <w:rPr>
          <w:rFonts w:hint="eastAsia" w:ascii="仿宋" w:hAnsi="仿宋" w:eastAsia="仿宋" w:cs="宋体"/>
          <w:b/>
          <w:bCs/>
          <w:color w:val="000000"/>
          <w:kern w:val="0"/>
          <w:szCs w:val="32"/>
          <w:lang w:val="zh-CN"/>
        </w:rPr>
        <w:t>问题</w:t>
      </w:r>
      <w:r>
        <w:rPr>
          <w:rFonts w:ascii="仿宋" w:hAnsi="仿宋" w:eastAsia="仿宋" w:cs="Times New Roman"/>
          <w:b/>
          <w:bCs/>
          <w:color w:val="000000"/>
          <w:kern w:val="0"/>
          <w:szCs w:val="32"/>
          <w:lang w:val="zh-CN"/>
        </w:rPr>
        <w:t>2</w:t>
      </w:r>
      <w:r>
        <w:rPr>
          <w:rFonts w:hint="eastAsia" w:ascii="仿宋" w:hAnsi="仿宋" w:eastAsia="仿宋" w:cs="宋体"/>
          <w:b/>
          <w:bCs/>
          <w:color w:val="000000"/>
          <w:kern w:val="0"/>
          <w:szCs w:val="32"/>
          <w:lang w:val="zh-CN"/>
        </w:rPr>
        <w:t>：部分合同周期时间较长，税务备案表是否存在有效期限制？税务备案表信息是否可以在税务备案核验功能中予以长期保存？</w:t>
      </w:r>
    </w:p>
    <w:p>
      <w:pPr>
        <w:autoSpaceDE w:val="0"/>
        <w:autoSpaceDN w:val="0"/>
        <w:adjustRightInd w:val="0"/>
        <w:snapToGrid w:val="0"/>
        <w:spacing w:line="312" w:lineRule="auto"/>
        <w:ind w:firstLine="422" w:firstLineChars="200"/>
        <w:rPr>
          <w:rFonts w:hint="eastAsia" w:ascii="仿宋" w:hAnsi="仿宋" w:eastAsia="仿宋" w:cs="宋体"/>
          <w:b/>
          <w:color w:val="000000"/>
          <w:kern w:val="0"/>
          <w:szCs w:val="32"/>
          <w:lang w:val="zh-CN"/>
        </w:rPr>
      </w:pPr>
      <w:r>
        <w:rPr>
          <w:rFonts w:hint="eastAsia" w:ascii="仿宋" w:hAnsi="仿宋" w:eastAsia="仿宋" w:cs="宋体"/>
          <w:b/>
          <w:bCs/>
          <w:color w:val="000000"/>
          <w:kern w:val="0"/>
          <w:szCs w:val="32"/>
          <w:lang w:val="zh-CN"/>
        </w:rPr>
        <w:t>答：</w:t>
      </w:r>
      <w:r>
        <w:rPr>
          <w:rFonts w:hint="eastAsia" w:ascii="仿宋" w:hAnsi="仿宋" w:eastAsia="仿宋" w:cs="宋体"/>
          <w:color w:val="000000"/>
          <w:kern w:val="0"/>
          <w:szCs w:val="32"/>
          <w:lang w:val="zh-CN"/>
        </w:rPr>
        <w:t>税务备案表无有效期限制，税务备案信息在新功能中长期有效。同时，为便于银行查询历史业务信息，新功能提供</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旧版核验功能历史业务查询</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模块供银行使用。</w:t>
      </w:r>
    </w:p>
    <w:p>
      <w:pPr>
        <w:autoSpaceDE w:val="0"/>
        <w:autoSpaceDN w:val="0"/>
        <w:adjustRightInd w:val="0"/>
        <w:snapToGrid w:val="0"/>
        <w:spacing w:line="312" w:lineRule="auto"/>
        <w:ind w:firstLine="422" w:firstLineChars="200"/>
        <w:rPr>
          <w:rFonts w:hint="eastAsia" w:ascii="仿宋" w:hAnsi="仿宋" w:eastAsia="仿宋" w:cs="宋体"/>
          <w:b/>
          <w:color w:val="000000"/>
          <w:kern w:val="0"/>
          <w:szCs w:val="32"/>
          <w:lang w:val="zh-CN"/>
        </w:rPr>
      </w:pPr>
    </w:p>
    <w:p>
      <w:pPr>
        <w:autoSpaceDE w:val="0"/>
        <w:autoSpaceDN w:val="0"/>
        <w:adjustRightInd w:val="0"/>
        <w:snapToGrid w:val="0"/>
        <w:spacing w:line="312" w:lineRule="auto"/>
        <w:ind w:firstLine="422" w:firstLineChars="200"/>
        <w:rPr>
          <w:rFonts w:hint="eastAsia" w:ascii="仿宋" w:hAnsi="仿宋" w:eastAsia="仿宋" w:cs="宋体"/>
          <w:b/>
          <w:bCs/>
          <w:color w:val="000000"/>
          <w:kern w:val="0"/>
          <w:szCs w:val="32"/>
          <w:lang w:val="zh-CN"/>
        </w:rPr>
      </w:pPr>
      <w:r>
        <w:rPr>
          <w:rFonts w:hint="eastAsia" w:ascii="仿宋" w:hAnsi="仿宋" w:eastAsia="仿宋" w:cs="宋体"/>
          <w:b/>
          <w:bCs/>
          <w:color w:val="000000"/>
          <w:kern w:val="0"/>
          <w:szCs w:val="32"/>
          <w:lang w:val="zh-CN"/>
        </w:rPr>
        <w:t>问题</w:t>
      </w:r>
      <w:r>
        <w:rPr>
          <w:rFonts w:ascii="仿宋" w:hAnsi="仿宋" w:eastAsia="仿宋" w:cs="Times New Roman"/>
          <w:b/>
          <w:bCs/>
          <w:color w:val="000000"/>
          <w:kern w:val="0"/>
          <w:szCs w:val="32"/>
          <w:lang w:val="zh-CN"/>
        </w:rPr>
        <w:t>3</w:t>
      </w:r>
      <w:r>
        <w:rPr>
          <w:rFonts w:hint="eastAsia" w:ascii="仿宋" w:hAnsi="仿宋" w:eastAsia="仿宋" w:cs="宋体"/>
          <w:b/>
          <w:bCs/>
          <w:color w:val="000000"/>
          <w:kern w:val="0"/>
          <w:szCs w:val="32"/>
          <w:lang w:val="zh-CN"/>
        </w:rPr>
        <w:t>：境内机构或个人对外付汇后，如果发生退汇业务，备案人是否需要注销之前的支付核验记录，以扣减已发生的对外付汇金额？</w:t>
      </w:r>
    </w:p>
    <w:p>
      <w:pPr>
        <w:autoSpaceDE w:val="0"/>
        <w:autoSpaceDN w:val="0"/>
        <w:adjustRightInd w:val="0"/>
        <w:snapToGrid w:val="0"/>
        <w:spacing w:line="312" w:lineRule="auto"/>
        <w:ind w:firstLine="422" w:firstLineChars="200"/>
        <w:rPr>
          <w:rFonts w:hint="eastAsia" w:ascii="仿宋" w:hAnsi="仿宋" w:eastAsia="仿宋" w:cs="宋体"/>
          <w:b/>
          <w:color w:val="000000"/>
          <w:kern w:val="0"/>
          <w:szCs w:val="32"/>
          <w:lang w:val="zh-CN"/>
        </w:rPr>
      </w:pPr>
      <w:r>
        <w:rPr>
          <w:rFonts w:hint="eastAsia" w:ascii="仿宋" w:hAnsi="仿宋" w:eastAsia="仿宋" w:cs="宋体"/>
          <w:b/>
          <w:bCs/>
          <w:color w:val="000000"/>
          <w:kern w:val="0"/>
          <w:szCs w:val="32"/>
          <w:lang w:val="zh-CN"/>
        </w:rPr>
        <w:t>答：</w:t>
      </w:r>
      <w:r>
        <w:rPr>
          <w:rFonts w:hint="eastAsia" w:ascii="仿宋" w:hAnsi="仿宋" w:eastAsia="仿宋" w:cs="宋体"/>
          <w:color w:val="000000"/>
          <w:kern w:val="0"/>
          <w:szCs w:val="32"/>
          <w:lang w:val="zh-CN"/>
        </w:rPr>
        <w:t>进行付汇确认后，税务备案核验信息无法注销。对于在新功能中办理税务备案核验且发生退汇或部分退汇的情况，银行应通过新功能修改与相应备案表关联的付汇信息，将付汇金额修改为</w:t>
      </w:r>
      <w:r>
        <w:rPr>
          <w:rFonts w:ascii="仿宋" w:hAnsi="仿宋" w:eastAsia="仿宋" w:cs="宋体"/>
          <w:color w:val="000000"/>
          <w:kern w:val="0"/>
          <w:szCs w:val="32"/>
          <w:lang w:val="zh-CN"/>
        </w:rPr>
        <w:t>“</w:t>
      </w:r>
      <w:r>
        <w:rPr>
          <w:rFonts w:ascii="仿宋" w:hAnsi="仿宋" w:eastAsia="仿宋" w:cs="Times New Roman"/>
          <w:color w:val="000000"/>
          <w:kern w:val="0"/>
          <w:szCs w:val="32"/>
          <w:lang w:val="zh-CN"/>
        </w:rPr>
        <w:t>0</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或实际付汇金额（付汇金额扣减退汇金额），并在备注中标明</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退款</w:t>
      </w:r>
      <w:r>
        <w:rPr>
          <w:rFonts w:ascii="仿宋" w:hAnsi="仿宋" w:eastAsia="仿宋" w:cs="Times New Roman"/>
          <w:color w:val="000000"/>
          <w:kern w:val="0"/>
          <w:szCs w:val="32"/>
          <w:lang w:val="zh-CN"/>
        </w:rPr>
        <w:t>+</w:t>
      </w:r>
      <w:r>
        <w:rPr>
          <w:rFonts w:hint="eastAsia" w:ascii="仿宋" w:hAnsi="仿宋" w:eastAsia="仿宋" w:cs="宋体"/>
          <w:color w:val="000000"/>
          <w:kern w:val="0"/>
          <w:szCs w:val="32"/>
          <w:lang w:val="zh-CN"/>
        </w:rPr>
        <w:t>金额</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字样，如</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退款</w:t>
      </w:r>
      <w:r>
        <w:rPr>
          <w:rFonts w:ascii="仿宋" w:hAnsi="仿宋" w:eastAsia="仿宋" w:cs="Times New Roman"/>
          <w:color w:val="000000"/>
          <w:kern w:val="0"/>
          <w:szCs w:val="32"/>
          <w:lang w:val="zh-CN"/>
        </w:rPr>
        <w:t>10</w:t>
      </w:r>
      <w:r>
        <w:rPr>
          <w:rFonts w:hint="eastAsia" w:ascii="仿宋" w:hAnsi="仿宋" w:eastAsia="仿宋" w:cs="宋体"/>
          <w:color w:val="000000"/>
          <w:kern w:val="0"/>
          <w:szCs w:val="32"/>
          <w:lang w:val="zh-CN"/>
        </w:rPr>
        <w:t>万美元</w:t>
      </w:r>
      <w:r>
        <w:rPr>
          <w:rFonts w:ascii="仿宋" w:hAnsi="仿宋" w:eastAsia="仿宋" w:cs="宋体"/>
          <w:color w:val="000000"/>
          <w:kern w:val="0"/>
          <w:szCs w:val="32"/>
          <w:lang w:val="zh-CN"/>
        </w:rPr>
        <w:t>”</w:t>
      </w:r>
      <w:r>
        <w:rPr>
          <w:rFonts w:hint="eastAsia" w:ascii="仿宋" w:hAnsi="仿宋" w:eastAsia="仿宋" w:cs="宋体"/>
          <w:color w:val="000000"/>
          <w:kern w:val="0"/>
          <w:szCs w:val="32"/>
          <w:lang w:val="zh-CN"/>
        </w:rPr>
        <w:t>。</w:t>
      </w:r>
    </w:p>
    <w:p>
      <w:pPr>
        <w:autoSpaceDE w:val="0"/>
        <w:autoSpaceDN w:val="0"/>
        <w:adjustRightInd w:val="0"/>
        <w:snapToGrid w:val="0"/>
        <w:spacing w:line="312" w:lineRule="auto"/>
        <w:ind w:firstLine="422" w:firstLineChars="200"/>
        <w:rPr>
          <w:rFonts w:hint="eastAsia" w:ascii="仿宋" w:hAnsi="仿宋" w:eastAsia="仿宋" w:cs="宋体"/>
          <w:b/>
          <w:color w:val="000000"/>
          <w:kern w:val="0"/>
          <w:szCs w:val="32"/>
          <w:lang w:val="zh-CN"/>
        </w:rPr>
      </w:pPr>
    </w:p>
    <w:p>
      <w:pPr>
        <w:autoSpaceDE w:val="0"/>
        <w:autoSpaceDN w:val="0"/>
        <w:adjustRightInd w:val="0"/>
        <w:snapToGrid w:val="0"/>
        <w:spacing w:line="312" w:lineRule="auto"/>
        <w:ind w:firstLine="422" w:firstLineChars="200"/>
        <w:rPr>
          <w:rFonts w:hint="eastAsia" w:ascii="仿宋" w:hAnsi="仿宋" w:eastAsia="仿宋" w:cs="宋体"/>
          <w:b/>
          <w:bCs/>
          <w:color w:val="000000"/>
          <w:kern w:val="0"/>
          <w:szCs w:val="32"/>
          <w:lang w:val="zh-CN"/>
        </w:rPr>
      </w:pPr>
      <w:r>
        <w:rPr>
          <w:rFonts w:hint="eastAsia" w:ascii="仿宋" w:hAnsi="仿宋" w:eastAsia="仿宋" w:cs="宋体"/>
          <w:b/>
          <w:bCs/>
          <w:color w:val="000000"/>
          <w:kern w:val="0"/>
          <w:szCs w:val="32"/>
          <w:lang w:val="zh-CN"/>
        </w:rPr>
        <w:t>问题</w:t>
      </w:r>
      <w:r>
        <w:rPr>
          <w:rFonts w:ascii="仿宋" w:hAnsi="仿宋" w:eastAsia="仿宋" w:cs="Times New Roman"/>
          <w:b/>
          <w:bCs/>
          <w:color w:val="000000"/>
          <w:kern w:val="0"/>
          <w:szCs w:val="32"/>
          <w:lang w:val="zh-CN"/>
        </w:rPr>
        <w:t>4</w:t>
      </w:r>
      <w:r>
        <w:rPr>
          <w:rFonts w:hint="eastAsia" w:ascii="仿宋" w:hAnsi="仿宋" w:eastAsia="仿宋" w:cs="宋体"/>
          <w:b/>
          <w:bCs/>
          <w:color w:val="000000"/>
          <w:kern w:val="0"/>
          <w:szCs w:val="32"/>
          <w:lang w:val="zh-CN"/>
        </w:rPr>
        <w:t>：完成税务备案后，如付汇银行、付汇账号或合同总金额（或支付标准）等信息发生变化的，是否影响对外支付？</w:t>
      </w:r>
    </w:p>
    <w:p>
      <w:pPr>
        <w:autoSpaceDE w:val="0"/>
        <w:autoSpaceDN w:val="0"/>
        <w:adjustRightInd w:val="0"/>
        <w:snapToGrid w:val="0"/>
        <w:spacing w:line="312" w:lineRule="auto"/>
        <w:ind w:firstLine="422" w:firstLineChars="200"/>
        <w:rPr>
          <w:rFonts w:hint="eastAsia" w:ascii="仿宋" w:hAnsi="仿宋" w:eastAsia="仿宋" w:cs="宋体"/>
          <w:color w:val="000000"/>
          <w:kern w:val="0"/>
          <w:szCs w:val="32"/>
          <w:lang w:val="zh-CN"/>
        </w:rPr>
      </w:pPr>
      <w:r>
        <w:rPr>
          <w:rFonts w:hint="eastAsia" w:ascii="仿宋" w:hAnsi="仿宋" w:eastAsia="仿宋" w:cs="宋体"/>
          <w:b/>
          <w:bCs/>
          <w:color w:val="000000"/>
          <w:kern w:val="0"/>
          <w:szCs w:val="32"/>
          <w:lang w:val="zh-CN"/>
        </w:rPr>
        <w:t>答：</w:t>
      </w:r>
      <w:r>
        <w:rPr>
          <w:rFonts w:hint="eastAsia" w:ascii="仿宋" w:hAnsi="仿宋" w:eastAsia="仿宋" w:cs="宋体"/>
          <w:color w:val="000000"/>
          <w:kern w:val="0"/>
          <w:szCs w:val="32"/>
          <w:lang w:val="zh-CN"/>
        </w:rPr>
        <w:t>境内机构和个人完成税务备案后，如合同总金额（或支付标准）或合同执行期限等重要信息发生变化的，应在修改税务备案信息之后，到银行办理服务贸易对外支付。</w:t>
      </w:r>
    </w:p>
    <w:p>
      <w:pPr>
        <w:autoSpaceDE w:val="0"/>
        <w:autoSpaceDN w:val="0"/>
        <w:adjustRightInd w:val="0"/>
        <w:snapToGrid w:val="0"/>
        <w:spacing w:line="312" w:lineRule="auto"/>
        <w:ind w:firstLine="420" w:firstLineChars="200"/>
        <w:rPr>
          <w:rFonts w:hint="eastAsia" w:ascii="仿宋" w:hAnsi="仿宋" w:eastAsia="仿宋"/>
        </w:rPr>
      </w:pPr>
      <w:r>
        <w:rPr>
          <w:rFonts w:hint="eastAsia" w:ascii="仿宋" w:hAnsi="仿宋" w:eastAsia="仿宋" w:cs="宋体"/>
          <w:color w:val="000000"/>
          <w:kern w:val="0"/>
          <w:szCs w:val="32"/>
          <w:lang w:val="zh-CN"/>
        </w:rPr>
        <w:t>境内机构和个人完成税务备案后，如境内支付人的付汇银行、付汇账号或境外收款人的收汇银行、收汇账号发生变化的，银行在审核真实性、合规性后及时办理服务贸易对外支付。</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