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210" w:name="_Toc2964"/>
      <w:r>
        <w:rPr>
          <w:rFonts w:hint="eastAsia" w:ascii="仿宋" w:hAnsi="仿宋" w:eastAsia="仿宋"/>
          <w:sz w:val="21"/>
          <w:szCs w:val="21"/>
        </w:rPr>
        <w:t>39</w:t>
      </w:r>
      <w:r>
        <w:rPr>
          <w:rFonts w:ascii="仿宋" w:hAnsi="仿宋" w:eastAsia="仿宋"/>
          <w:sz w:val="21"/>
          <w:szCs w:val="21"/>
        </w:rPr>
        <w:t xml:space="preserve">  </w:t>
      </w:r>
      <w:r>
        <w:rPr>
          <w:rFonts w:hint="eastAsia" w:ascii="仿宋" w:hAnsi="仿宋" w:eastAsia="仿宋"/>
          <w:sz w:val="21"/>
          <w:szCs w:val="21"/>
        </w:rPr>
        <w:t xml:space="preserve">国家外汇管理局关于进一步推进个人经常项目外汇业务便利化的通知 </w:t>
      </w:r>
      <w:r>
        <w:rPr>
          <w:rFonts w:hint="eastAsia" w:ascii="仿宋" w:hAnsi="仿宋" w:eastAsia="仿宋"/>
          <w:sz w:val="21"/>
          <w:szCs w:val="21"/>
        </w:rPr>
        <w:br w:type="textWrapping"/>
      </w:r>
      <w:r>
        <w:rPr>
          <w:rFonts w:hint="eastAsia" w:ascii="仿宋" w:hAnsi="仿宋" w:eastAsia="仿宋"/>
          <w:sz w:val="21"/>
          <w:szCs w:val="21"/>
        </w:rPr>
        <w:t>汇发〔2021〕13号</w:t>
      </w:r>
      <w:bookmarkEnd w:id="210"/>
    </w:p>
    <w:p>
      <w:pPr>
        <w:adjustRightInd w:val="0"/>
        <w:snapToGrid w:val="0"/>
        <w:spacing w:line="312" w:lineRule="auto"/>
        <w:rPr>
          <w:rFonts w:hint="eastAsia" w:ascii="仿宋" w:hAnsi="仿宋" w:eastAsia="仿宋"/>
          <w:szCs w:val="21"/>
        </w:rPr>
      </w:pPr>
      <w:r>
        <w:rPr>
          <w:rFonts w:hint="eastAsia" w:ascii="仿宋" w:hAnsi="仿宋" w:eastAsia="仿宋"/>
          <w:szCs w:val="21"/>
        </w:rPr>
        <w:t>国家外汇管理局各省、自治区、直辖市分局、外汇管理部，深圳、大连、青岛、厦门、宇波市分局，各全国性中资银行: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为进一步提升个人用汇便利化水平,现就个人经常项目外汇业务有关事项通知如下：</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优化《个人购汇申请书》填报要素。为便于境内个人购汇填报，自2021年4月1日起（具体时间由银行自主确定，但最迟不得晚于2021年6月底），启用优化后的《个人购汇申请书》（见附件1）,已开办电子银行个人结售汇业务的银行，应按照《电银行个人购汇优化技术要求参考》（见附件2），于2021年6月底前完成本银有行系统改造。</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二、调整银行个人购付汇用途一致性审核要求。银行对个人购汇后即办理付汇的业务，应进行购付汇用途一致性审核。</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优化留学学费购付汇手续。对于境内个人留学期间在同一银行再次办理不占年度便利化额度的留学学费购付汇，银行可根据首次办理情况，免于审核重复性材料，购汇资金直接汇入原学校账户。银行应在购汇备注栏标注“便利化留学购汇”字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优化境外工作的境内个人薪酬结汇手续。对于境外工作的境内个人在同一银行再次办理不占年度便利化额度的薪酬结汇，银行在确认薪酬真实合法的情况下，可根据首次办理情况，免于审核重复性材料，并在结汇备注栏标注“便利化薪酬结汇”字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优化在华工作境外个人薪酬购汇手续。对于在华工作境外个人劳动合同有效期内到同一银行再次办理合法薪酬收入购汇，银行可根据首次办理情况，免于审核重复性材料，并在购汇备注栏标注“便利化薪酬购汇”宇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银行应建立个人经常项目特殊外汇业务处置制度，并事前向所在地外汇局书面报告，对于个人具有真实、合法交易背景的经常项目外汇业务，银行应坚持“实质重于形式”的审核原则，按照个人经常项目特殊外汇业务处置制度予以办理，并在购/结汇备注栏标注“特殊外汇业务处置”字样。</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七、个人本外币兑换特许业务经营机构办理个人外汇业务参照本通知执行。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八、本通知自发布之曰起施行。《国家外汇管理局关于优化个人外汇业务信息系统的通知》（汇发〔2016〕34号）同时废止。此前规定与本通知不一致的，按照本通知执行。</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收到本通知后，国家外汇管理局各分局、外汇管理部应及时转发辖内中心支局（支局）、开办个人结售汇业务的地方性商业银行、外资银行及个人本外币兑换特许业务经营机构，各全国性中资银行应及时转发下属分支机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特此通知。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附件:1.个人购汇申请书</w:t>
      </w:r>
    </w:p>
    <w:p>
      <w:pPr>
        <w:adjustRightInd w:val="0"/>
        <w:snapToGrid w:val="0"/>
        <w:spacing w:line="312" w:lineRule="auto"/>
        <w:ind w:left="420" w:firstLine="630" w:firstLineChars="300"/>
        <w:rPr>
          <w:rFonts w:hint="eastAsia" w:ascii="仿宋" w:hAnsi="仿宋" w:eastAsia="仿宋"/>
          <w:szCs w:val="21"/>
        </w:rPr>
      </w:pPr>
      <w:r>
        <w:rPr>
          <w:rFonts w:hint="eastAsia" w:ascii="仿宋" w:hAnsi="仿宋" w:eastAsia="仿宋"/>
          <w:szCs w:val="21"/>
        </w:rPr>
        <w:t>2.电子银行个人购汇优化技术要求参考</w:t>
      </w: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国家外汇管理局</w:t>
      </w: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2021年3月25日</w:t>
      </w:r>
    </w:p>
    <w:p>
      <w:pPr>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r>
        <w:rPr>
          <w:rFonts w:ascii="仿宋" w:hAnsi="仿宋" w:eastAsia="仿宋"/>
        </w:rPr>
        <w:t>附件1</w:t>
      </w:r>
    </w:p>
    <w:p>
      <w:pPr>
        <w:adjustRightInd w:val="0"/>
        <w:snapToGrid w:val="0"/>
        <w:spacing w:line="312" w:lineRule="auto"/>
        <w:jc w:val="center"/>
        <w:rPr>
          <w:rFonts w:hint="eastAsia" w:ascii="仿宋" w:hAnsi="仿宋" w:eastAsia="仿宋"/>
          <w:b/>
          <w:bCs/>
          <w:szCs w:val="21"/>
        </w:rPr>
      </w:pPr>
      <w:r>
        <w:rPr>
          <w:rFonts w:ascii="仿宋" w:hAnsi="仿宋" w:eastAsia="仿宋"/>
          <w:b/>
          <w:bCs/>
          <w:szCs w:val="21"/>
        </w:rPr>
        <w:t>个人购汇申请书</w:t>
      </w:r>
    </w:p>
    <w:p>
      <w:pPr>
        <w:adjustRightInd w:val="0"/>
        <w:snapToGrid w:val="0"/>
        <w:spacing w:line="312" w:lineRule="auto"/>
        <w:ind w:firstLine="420" w:firstLineChars="200"/>
        <w:rPr>
          <w:rFonts w:hint="eastAsia" w:ascii="仿宋" w:hAnsi="仿宋" w:eastAsia="仿宋"/>
        </w:rPr>
      </w:pPr>
      <w:r>
        <w:rPr>
          <w:rFonts w:ascii="仿宋" w:hAnsi="仿宋" w:eastAsia="仿宋"/>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133350</wp:posOffset>
                </wp:positionV>
                <wp:extent cx="6085205" cy="7995920"/>
                <wp:effectExtent l="0" t="0" r="10795" b="24765"/>
                <wp:wrapNone/>
                <wp:docPr id="1" name="矩形 1"/>
                <wp:cNvGraphicFramePr/>
                <a:graphic xmlns:a="http://schemas.openxmlformats.org/drawingml/2006/main">
                  <a:graphicData uri="http://schemas.microsoft.com/office/word/2010/wordprocessingShape">
                    <wps:wsp>
                      <wps:cNvSpPr/>
                      <wps:spPr>
                        <a:xfrm>
                          <a:off x="0" y="0"/>
                          <a:ext cx="6085489" cy="799568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0.5pt;height:629.6pt;width:479.15pt;mso-position-horizontal:right;mso-position-horizontal-relative:margin;z-index:251663360;v-text-anchor:middle;mso-width-relative:page;mso-height-relative:page;" filled="f" stroked="t" coordsize="21600,21600" o:gfxdata="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HaC8HYAAAACAEAAA8AAAAAAAAAAQAgAAAAIgAAAGRycy9kb3ducmV2LnhtbFBL&#10;AQIUABQAAAAIAIdO4kAuvVicaAIAAMwEAAAOAAAAAAAAAAEAIAAAACcBAABkcnMvZTJvRG9jLnht&#10;bFBLBQYAAAAABgAGAFkBAAABBgAAAAA=&#10;">
                <v:fill on="f" focussize="0,0"/>
                <v:stroke weight="1.5pt" color="#000000 [3213]" miterlimit="8" joinstyle="miter"/>
                <v:imagedata o:title=""/>
                <o:lock v:ext="edit" aspectratio="f"/>
              </v:rect>
            </w:pict>
          </mc:Fallback>
        </mc:AlternateContent>
      </w:r>
    </w:p>
    <w:p>
      <w:pPr>
        <w:adjustRightInd w:val="0"/>
        <w:snapToGrid w:val="0"/>
        <w:spacing w:line="288" w:lineRule="auto"/>
        <w:ind w:right="288" w:rightChars="137" w:firstLine="420" w:firstLineChars="200"/>
        <w:rPr>
          <w:rFonts w:hint="eastAsia" w:ascii="仿宋" w:hAnsi="仿宋" w:eastAsia="仿宋"/>
        </w:rPr>
      </w:pPr>
      <w:r>
        <w:rPr>
          <w:rFonts w:hint="eastAsia" w:ascii="仿宋" w:hAnsi="仿宋" w:eastAsia="仿宋"/>
        </w:rPr>
        <w:t>根据《中华人民共和国外汇管理条例》（国务院令第532号）、《个人外汇管理办法》（中国人民银行令〔2006〕第3号）等规定，个人购汇实行年度便利化额度管理,应当具有真实、合法的交易基础，如实申报购汇信息。</w:t>
      </w:r>
    </w:p>
    <w:p>
      <w:pPr>
        <w:adjustRightInd w:val="0"/>
        <w:snapToGrid w:val="0"/>
        <w:spacing w:line="288" w:lineRule="auto"/>
        <w:ind w:right="288" w:rightChars="137" w:firstLine="422" w:firstLineChars="200"/>
        <w:rPr>
          <w:rFonts w:hint="eastAsia" w:ascii="仿宋" w:hAnsi="仿宋" w:eastAsia="仿宋"/>
          <w:b/>
          <w:bCs/>
        </w:rPr>
      </w:pPr>
      <w:r>
        <w:rPr>
          <w:rFonts w:hint="eastAsia" w:ascii="仿宋" w:hAnsi="仿宋" w:eastAsia="仿宋"/>
          <w:b/>
          <w:bCs/>
        </w:rPr>
        <w:t>一、依据法律法规，境内个人办理购汇业务时：</w:t>
      </w:r>
    </w:p>
    <w:p>
      <w:pPr>
        <w:adjustRightInd w:val="0"/>
        <w:snapToGrid w:val="0"/>
        <w:spacing w:line="288" w:lineRule="auto"/>
        <w:ind w:right="288" w:rightChars="137" w:firstLine="422" w:firstLineChars="200"/>
        <w:rPr>
          <w:rFonts w:hint="eastAsia" w:ascii="仿宋" w:hAnsi="仿宋" w:eastAsia="仿宋"/>
          <w:b/>
          <w:bCs/>
        </w:rPr>
      </w:pPr>
      <w:r>
        <w:rPr>
          <w:rFonts w:hint="eastAsia" w:ascii="仿宋" w:hAnsi="仿宋" w:eastAsia="仿宋"/>
          <w:b/>
          <w:bCs/>
        </w:rPr>
        <w:t>1.不得虚假申报个人购汇信息；</w:t>
      </w:r>
    </w:p>
    <w:p>
      <w:pPr>
        <w:adjustRightInd w:val="0"/>
        <w:snapToGrid w:val="0"/>
        <w:spacing w:line="288" w:lineRule="auto"/>
        <w:ind w:right="288" w:rightChars="137" w:firstLine="422" w:firstLineChars="200"/>
        <w:rPr>
          <w:rFonts w:hint="eastAsia" w:ascii="仿宋" w:hAnsi="仿宋" w:eastAsia="仿宋"/>
          <w:b/>
          <w:bCs/>
        </w:rPr>
      </w:pPr>
      <w:r>
        <w:rPr>
          <w:rFonts w:hint="eastAsia" w:ascii="仿宋" w:hAnsi="仿宋" w:eastAsia="仿宋"/>
          <w:b/>
          <w:bCs/>
        </w:rPr>
        <w:t>2.不得提供不笑的证明材料；</w:t>
      </w:r>
    </w:p>
    <w:p>
      <w:pPr>
        <w:adjustRightInd w:val="0"/>
        <w:snapToGrid w:val="0"/>
        <w:spacing w:line="288" w:lineRule="auto"/>
        <w:ind w:right="288" w:rightChars="137" w:firstLine="422" w:firstLineChars="200"/>
        <w:rPr>
          <w:rFonts w:hint="eastAsia" w:ascii="仿宋" w:hAnsi="仿宋" w:eastAsia="仿宋"/>
          <w:b/>
          <w:bCs/>
        </w:rPr>
      </w:pPr>
      <w:r>
        <w:rPr>
          <w:rFonts w:hint="eastAsia" w:ascii="仿宋" w:hAnsi="仿宋" w:eastAsia="仿宋"/>
          <w:b/>
          <w:bCs/>
        </w:rPr>
        <w:t>3.不得出借本人便利化顿度协助他人购汇；</w:t>
      </w:r>
    </w:p>
    <w:p>
      <w:pPr>
        <w:adjustRightInd w:val="0"/>
        <w:snapToGrid w:val="0"/>
        <w:spacing w:line="288" w:lineRule="auto"/>
        <w:ind w:right="288" w:rightChars="137" w:firstLine="422" w:firstLineChars="200"/>
        <w:rPr>
          <w:rFonts w:hint="eastAsia" w:ascii="仿宋" w:hAnsi="仿宋" w:eastAsia="仿宋"/>
          <w:b/>
          <w:bCs/>
        </w:rPr>
      </w:pPr>
      <w:r>
        <w:rPr>
          <w:rFonts w:hint="eastAsia" w:ascii="仿宋" w:hAnsi="仿宋" w:eastAsia="仿宋"/>
          <w:b/>
          <w:bCs/>
        </w:rPr>
        <w:t>4.不得借用他人便利化额度实施分拆购汇;</w:t>
      </w:r>
    </w:p>
    <w:p>
      <w:pPr>
        <w:adjustRightInd w:val="0"/>
        <w:snapToGrid w:val="0"/>
        <w:spacing w:line="288" w:lineRule="auto"/>
        <w:ind w:right="288" w:rightChars="137" w:firstLine="422" w:firstLineChars="200"/>
        <w:rPr>
          <w:rFonts w:hint="eastAsia" w:ascii="仿宋" w:hAnsi="仿宋" w:eastAsia="仿宋"/>
          <w:b/>
          <w:bCs/>
        </w:rPr>
      </w:pPr>
      <w:r>
        <w:rPr>
          <w:rFonts w:hint="eastAsia" w:ascii="仿宋" w:hAnsi="仿宋" w:eastAsia="仿宋"/>
          <w:b/>
          <w:bCs/>
        </w:rPr>
        <w:t>5.不得用于境外买房、证券投资、购买人寿保险和投资性返还分红类保险等尚未开放的资本项目；</w:t>
      </w:r>
    </w:p>
    <w:p>
      <w:pPr>
        <w:adjustRightInd w:val="0"/>
        <w:snapToGrid w:val="0"/>
        <w:spacing w:line="288" w:lineRule="auto"/>
        <w:ind w:right="288" w:rightChars="137" w:firstLine="422" w:firstLineChars="200"/>
        <w:rPr>
          <w:rFonts w:hint="eastAsia" w:ascii="仿宋" w:hAnsi="仿宋" w:eastAsia="仿宋"/>
          <w:b/>
          <w:bCs/>
        </w:rPr>
      </w:pPr>
      <w:r>
        <w:rPr>
          <w:rFonts w:hint="eastAsia" w:ascii="仿宋" w:hAnsi="仿宋" w:eastAsia="仿宋"/>
          <w:b/>
          <w:bCs/>
        </w:rPr>
        <w:t>6.不得参与洗钱、赌博、逃税、地下钱庄交易等违法违规活动．</w:t>
      </w:r>
    </w:p>
    <w:p>
      <w:pPr>
        <w:adjustRightInd w:val="0"/>
        <w:snapToGrid w:val="0"/>
        <w:spacing w:line="288" w:lineRule="auto"/>
        <w:ind w:right="288" w:rightChars="137" w:firstLine="422" w:firstLineChars="200"/>
        <w:rPr>
          <w:rFonts w:hint="eastAsia" w:ascii="仿宋" w:hAnsi="仿宋" w:eastAsia="仿宋"/>
        </w:rPr>
      </w:pPr>
      <w:r>
        <w:rPr>
          <w:rFonts w:hint="eastAsia" w:ascii="仿宋" w:hAnsi="仿宋" w:eastAsia="仿宋"/>
          <w:b/>
          <w:bCs/>
        </w:rPr>
        <w:t>二、外汇管理机关依法对个人外汇业务进行监督检查。</w:t>
      </w:r>
      <w:r>
        <w:rPr>
          <w:rFonts w:hint="eastAsia" w:ascii="仿宋" w:hAnsi="仿宋" w:eastAsia="仿宋"/>
        </w:rPr>
        <w:t>对于存在违规行为的个人，外汇管理机关依法列入“关注名单”管理。“关注名单”内个人列入“关注名单”的当年及之后连续2年不享有个人便利化额度。对于违反规定办理个人购汇业务的，外汇管理机关将依据《中华人民共和国外汇管理条例》等予以行政处罚，同时依法移送反洗钱调查，相关信息依法纳入个人征信记录。</w:t>
      </w:r>
    </w:p>
    <w:p>
      <w:pPr>
        <w:adjustRightInd w:val="0"/>
        <w:snapToGrid w:val="0"/>
        <w:spacing w:line="312" w:lineRule="auto"/>
        <w:ind w:right="288" w:rightChars="137" w:firstLine="422" w:firstLineChars="200"/>
        <w:rPr>
          <w:rFonts w:hint="eastAsia" w:ascii="仿宋" w:hAnsi="仿宋" w:eastAsia="仿宋"/>
          <w:b/>
          <w:bCs/>
        </w:rPr>
      </w:pPr>
      <w:r>
        <w:rPr>
          <w:rFonts w:hint="eastAsia" w:ascii="仿宋" w:hAnsi="仿宋" w:eastAsia="仿宋"/>
          <w:b/>
          <w:bCs/>
        </w:rPr>
        <w:t>三、个人购汇基本信息:</w:t>
      </w:r>
    </w:p>
    <w:p>
      <w:pPr>
        <w:adjustRightInd w:val="0"/>
        <w:snapToGrid w:val="0"/>
        <w:spacing w:line="312" w:lineRule="auto"/>
        <w:ind w:right="288" w:rightChars="137" w:firstLine="420" w:firstLineChars="200"/>
        <w:rPr>
          <w:rFonts w:hint="eastAsia" w:ascii="仿宋" w:hAnsi="仿宋" w:eastAsia="仿宋"/>
        </w:rPr>
      </w:pPr>
      <w:r>
        <w:rPr>
          <w:rFonts w:hint="eastAsia" w:ascii="仿宋" w:hAnsi="仿宋" w:eastAsia="仿宋"/>
        </w:rPr>
        <w:t>购汇人姓名</w:t>
      </w:r>
      <w:r>
        <w:rPr>
          <w:rFonts w:hint="eastAsia" w:ascii="仿宋" w:hAnsi="仿宋" w:eastAsia="仿宋"/>
          <w:u w:val="single"/>
        </w:rPr>
        <w:t xml:space="preserve">                          </w:t>
      </w:r>
      <w:r>
        <w:rPr>
          <w:rFonts w:hint="eastAsia" w:ascii="仿宋" w:hAnsi="仿宋" w:eastAsia="仿宋"/>
        </w:rPr>
        <w:t>购汇人身份证件号</w:t>
      </w:r>
      <w:r>
        <w:rPr>
          <w:rFonts w:hint="eastAsia" w:ascii="仿宋" w:hAnsi="仿宋" w:eastAsia="仿宋"/>
          <w:u w:val="single"/>
        </w:rPr>
        <w:t xml:space="preserve">                      </w:t>
      </w:r>
    </w:p>
    <w:p>
      <w:pPr>
        <w:adjustRightInd w:val="0"/>
        <w:snapToGrid w:val="0"/>
        <w:spacing w:line="312" w:lineRule="auto"/>
        <w:ind w:right="288" w:rightChars="137" w:firstLine="420" w:firstLineChars="200"/>
        <w:rPr>
          <w:rFonts w:hint="eastAsia" w:ascii="仿宋" w:hAnsi="仿宋" w:eastAsia="仿宋"/>
        </w:rPr>
      </w:pPr>
      <w:r>
        <w:rPr>
          <w:rFonts w:hint="eastAsia" w:ascii="仿宋" w:hAnsi="仿宋" w:eastAsia="仿宋"/>
        </w:rPr>
        <w:t>购汇币种/金额</w:t>
      </w:r>
      <w:r>
        <w:rPr>
          <w:rFonts w:hint="eastAsia" w:ascii="仿宋" w:hAnsi="仿宋" w:eastAsia="仿宋"/>
          <w:u w:val="single"/>
        </w:rPr>
        <w:t xml:space="preserve">                 </w:t>
      </w:r>
      <w:r>
        <w:rPr>
          <w:rFonts w:ascii="仿宋" w:hAnsi="仿宋" w:eastAsia="仿宋"/>
          <w:u w:val="single"/>
        </w:rPr>
        <w:t xml:space="preserve">   </w:t>
      </w:r>
      <w:r>
        <w:rPr>
          <w:rFonts w:hint="eastAsia" w:ascii="仿宋" w:hAnsi="仿宋" w:eastAsia="仿宋"/>
          <w:u w:val="single"/>
        </w:rPr>
        <w:t xml:space="preserve">   </w:t>
      </w:r>
    </w:p>
    <w:p>
      <w:pPr>
        <w:adjustRightInd w:val="0"/>
        <w:snapToGrid w:val="0"/>
        <w:spacing w:line="312" w:lineRule="auto"/>
        <w:ind w:right="288" w:rightChars="137" w:firstLine="420" w:firstLineChars="200"/>
        <w:rPr>
          <w:rFonts w:hint="eastAsia" w:ascii="仿宋" w:hAnsi="仿宋" w:eastAsia="仿宋"/>
        </w:rPr>
      </w:pPr>
      <w:r>
        <w:rPr>
          <w:rFonts w:hint="eastAsia" w:ascii="仿宋" w:hAnsi="仿宋" w:eastAsia="仿宋"/>
        </w:rPr>
        <w:t>代理人姓名</w:t>
      </w:r>
      <w:r>
        <w:rPr>
          <w:rFonts w:hint="eastAsia" w:ascii="仿宋" w:hAnsi="仿宋" w:eastAsia="仿宋"/>
          <w:u w:val="single"/>
        </w:rPr>
        <w:t xml:space="preserve">                    </w:t>
      </w:r>
      <w:r>
        <w:rPr>
          <w:rFonts w:ascii="仿宋" w:hAnsi="仿宋" w:eastAsia="仿宋"/>
          <w:u w:val="single"/>
        </w:rPr>
        <w:t xml:space="preserve">      </w:t>
      </w:r>
      <w:r>
        <w:rPr>
          <w:rFonts w:hint="eastAsia" w:ascii="仿宋" w:hAnsi="仿宋" w:eastAsia="仿宋"/>
        </w:rPr>
        <w:t>代理人身份证件号码</w:t>
      </w:r>
      <w:r>
        <w:rPr>
          <w:rFonts w:hint="eastAsia" w:ascii="仿宋" w:hAnsi="仿宋" w:eastAsia="仿宋"/>
          <w:u w:val="single"/>
        </w:rPr>
        <w:t xml:space="preserve">                  </w:t>
      </w:r>
      <w:r>
        <w:rPr>
          <w:rFonts w:ascii="仿宋" w:hAnsi="仿宋" w:eastAsia="仿宋"/>
          <w:u w:val="single"/>
        </w:rPr>
        <w:t xml:space="preserve"> </w:t>
      </w:r>
      <w:r>
        <w:rPr>
          <w:rFonts w:hint="eastAsia" w:ascii="仿宋" w:hAnsi="仿宋" w:eastAsia="仿宋"/>
          <w:u w:val="single"/>
        </w:rPr>
        <w:t xml:space="preserve"> </w:t>
      </w:r>
    </w:p>
    <w:p>
      <w:pPr>
        <w:adjustRightInd w:val="0"/>
        <w:snapToGrid w:val="0"/>
        <w:spacing w:line="312" w:lineRule="auto"/>
        <w:ind w:right="288" w:rightChars="137" w:firstLine="422" w:firstLineChars="200"/>
        <w:rPr>
          <w:rFonts w:hint="eastAsia" w:ascii="仿宋" w:hAnsi="仿宋" w:eastAsia="仿宋"/>
          <w:b/>
          <w:bCs/>
        </w:rPr>
      </w:pPr>
      <w:r>
        <w:rPr>
          <w:rFonts w:hint="eastAsia" w:ascii="仿宋" w:hAnsi="仿宋" w:eastAsia="仿宋"/>
          <w:b/>
          <w:bCs/>
        </w:rPr>
        <w:t>四、购汇用途（勾选）</w:t>
      </w:r>
    </w:p>
    <w:p>
      <w:pPr>
        <w:adjustRightInd w:val="0"/>
        <w:snapToGrid w:val="0"/>
        <w:spacing w:line="312" w:lineRule="auto"/>
        <w:ind w:right="288" w:rightChars="137" w:firstLine="360" w:firstLineChars="200"/>
        <w:rPr>
          <w:rFonts w:hint="eastAsia" w:ascii="仿宋" w:hAnsi="仿宋" w:eastAsia="仿宋"/>
          <w:b/>
          <w:bCs/>
          <w:sz w:val="18"/>
          <w:szCs w:val="18"/>
        </w:rPr>
      </w:pPr>
      <w:r>
        <w:rPr>
          <w:rFonts w:hint="eastAsia" w:ascii="仿宋" w:hAnsi="仿宋" w:eastAsia="仿宋"/>
          <w:sz w:val="18"/>
          <w:szCs w:val="18"/>
        </w:rPr>
        <w:t>□</w:t>
      </w:r>
      <w:r>
        <w:rPr>
          <w:rFonts w:hint="eastAsia" w:ascii="仿宋" w:hAnsi="仿宋" w:eastAsia="仿宋"/>
          <w:b/>
          <w:bCs/>
          <w:sz w:val="18"/>
          <w:szCs w:val="18"/>
        </w:rPr>
        <w:t>因私旅游</w:t>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sz w:val="18"/>
          <w:szCs w:val="18"/>
        </w:rPr>
        <w:t>□</w:t>
      </w:r>
      <w:r>
        <w:rPr>
          <w:rFonts w:hint="eastAsia" w:ascii="仿宋" w:hAnsi="仿宋" w:eastAsia="仿宋"/>
          <w:b/>
          <w:bCs/>
          <w:sz w:val="18"/>
          <w:szCs w:val="18"/>
        </w:rPr>
        <w:t>境外留学</w:t>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sz w:val="18"/>
          <w:szCs w:val="18"/>
        </w:rPr>
        <w:t>□</w:t>
      </w:r>
      <w:r>
        <w:rPr>
          <w:rFonts w:hint="eastAsia" w:ascii="仿宋" w:hAnsi="仿宋" w:eastAsia="仿宋"/>
          <w:b/>
          <w:bCs/>
          <w:sz w:val="18"/>
          <w:szCs w:val="18"/>
        </w:rPr>
        <w:t>公务及商务出差</w:t>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sz w:val="18"/>
          <w:szCs w:val="18"/>
        </w:rPr>
        <w:t>□</w:t>
      </w:r>
      <w:r>
        <w:rPr>
          <w:rFonts w:hint="eastAsia" w:ascii="仿宋" w:hAnsi="仿宋" w:eastAsia="仿宋"/>
          <w:b/>
          <w:bCs/>
          <w:sz w:val="18"/>
          <w:szCs w:val="18"/>
        </w:rPr>
        <w:t>探亲</w:t>
      </w:r>
    </w:p>
    <w:p>
      <w:pPr>
        <w:adjustRightInd w:val="0"/>
        <w:snapToGrid w:val="0"/>
        <w:spacing w:line="312" w:lineRule="auto"/>
        <w:ind w:right="288" w:rightChars="137" w:firstLine="360" w:firstLineChars="200"/>
        <w:rPr>
          <w:rFonts w:hint="eastAsia" w:ascii="仿宋" w:hAnsi="仿宋" w:eastAsia="仿宋"/>
          <w:b/>
          <w:bCs/>
          <w:sz w:val="18"/>
          <w:szCs w:val="18"/>
        </w:rPr>
      </w:pPr>
      <w:r>
        <w:rPr>
          <w:rFonts w:hint="eastAsia" w:ascii="仿宋" w:hAnsi="仿宋" w:eastAsia="仿宋"/>
          <w:sz w:val="18"/>
          <w:szCs w:val="18"/>
        </w:rPr>
        <w:t>□</w:t>
      </w:r>
      <w:r>
        <w:rPr>
          <w:rFonts w:hint="eastAsia" w:ascii="仿宋" w:hAnsi="仿宋" w:eastAsia="仿宋"/>
          <w:b/>
          <w:bCs/>
          <w:sz w:val="18"/>
          <w:szCs w:val="18"/>
        </w:rPr>
        <w:t>境外就医</w:t>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sz w:val="18"/>
          <w:szCs w:val="18"/>
        </w:rPr>
        <w:t>□</w:t>
      </w:r>
      <w:r>
        <w:rPr>
          <w:rFonts w:hint="eastAsia" w:ascii="仿宋" w:hAnsi="仿宋" w:eastAsia="仿宋"/>
          <w:b/>
          <w:bCs/>
          <w:sz w:val="18"/>
          <w:szCs w:val="18"/>
        </w:rPr>
        <w:t>海外购物</w:t>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sz w:val="18"/>
          <w:szCs w:val="18"/>
        </w:rPr>
        <w:t>□</w:t>
      </w:r>
      <w:r>
        <w:rPr>
          <w:rFonts w:hint="eastAsia" w:ascii="仿宋" w:hAnsi="仿宋" w:eastAsia="仿宋"/>
          <w:b/>
          <w:bCs/>
          <w:sz w:val="18"/>
          <w:szCs w:val="18"/>
        </w:rPr>
        <w:t>非投资类保险</w:t>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sz w:val="18"/>
          <w:szCs w:val="18"/>
        </w:rPr>
        <w:t>□</w:t>
      </w:r>
      <w:r>
        <w:rPr>
          <w:rFonts w:hint="eastAsia" w:ascii="仿宋" w:hAnsi="仿宋" w:eastAsia="仿宋"/>
          <w:b/>
          <w:bCs/>
          <w:sz w:val="18"/>
          <w:szCs w:val="18"/>
        </w:rPr>
        <w:t>咨询服务</w:t>
      </w:r>
    </w:p>
    <w:p>
      <w:pPr>
        <w:adjustRightInd w:val="0"/>
        <w:snapToGrid w:val="0"/>
        <w:spacing w:line="312" w:lineRule="auto"/>
        <w:ind w:right="288" w:rightChars="137" w:firstLine="360" w:firstLineChars="200"/>
        <w:rPr>
          <w:rFonts w:hint="eastAsia" w:ascii="仿宋" w:hAnsi="仿宋" w:eastAsia="仿宋"/>
          <w:b/>
          <w:bCs/>
          <w:sz w:val="18"/>
          <w:szCs w:val="18"/>
        </w:rPr>
      </w:pPr>
      <w:r>
        <w:rPr>
          <w:rFonts w:hint="eastAsia" w:ascii="仿宋" w:hAnsi="仿宋" w:eastAsia="仿宋"/>
          <w:sz w:val="18"/>
          <w:szCs w:val="18"/>
        </w:rPr>
        <w:t>□</w:t>
      </w:r>
      <w:r>
        <w:rPr>
          <w:rFonts w:hint="eastAsia" w:ascii="仿宋" w:hAnsi="仿宋" w:eastAsia="仿宋"/>
          <w:b/>
          <w:bCs/>
          <w:sz w:val="18"/>
          <w:szCs w:val="18"/>
        </w:rPr>
        <w:t>职工报酬和赡家款</w:t>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sz w:val="18"/>
          <w:szCs w:val="18"/>
        </w:rPr>
        <w:t>□</w:t>
      </w:r>
      <w:r>
        <w:rPr>
          <w:rFonts w:hint="eastAsia" w:ascii="仿宋" w:hAnsi="仿宋" w:eastAsia="仿宋"/>
          <w:b/>
          <w:bCs/>
          <w:sz w:val="18"/>
          <w:szCs w:val="18"/>
        </w:rPr>
        <w:t>专有权利使用费和特许费</w:t>
      </w:r>
      <w:r>
        <w:rPr>
          <w:rFonts w:hint="eastAsia" w:ascii="仿宋" w:hAnsi="仿宋" w:eastAsia="仿宋"/>
          <w:b/>
          <w:bCs/>
          <w:sz w:val="18"/>
          <w:szCs w:val="18"/>
        </w:rPr>
        <w:tab/>
      </w:r>
      <w:r>
        <w:rPr>
          <w:rFonts w:hint="eastAsia" w:ascii="仿宋" w:hAnsi="仿宋" w:eastAsia="仿宋"/>
          <w:sz w:val="18"/>
          <w:szCs w:val="18"/>
        </w:rPr>
        <w:t>□</w:t>
      </w:r>
      <w:r>
        <w:rPr>
          <w:rFonts w:hint="eastAsia" w:ascii="仿宋" w:hAnsi="仿宋" w:eastAsia="仿宋"/>
          <w:b/>
          <w:bCs/>
          <w:sz w:val="18"/>
          <w:szCs w:val="18"/>
        </w:rPr>
        <w:t>投资收益</w:t>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b/>
          <w:bCs/>
          <w:sz w:val="18"/>
          <w:szCs w:val="18"/>
        </w:rPr>
        <w:tab/>
      </w:r>
      <w:r>
        <w:rPr>
          <w:rFonts w:hint="eastAsia" w:ascii="仿宋" w:hAnsi="仿宋" w:eastAsia="仿宋"/>
          <w:sz w:val="18"/>
          <w:szCs w:val="18"/>
        </w:rPr>
        <w:t>□</w:t>
      </w:r>
      <w:r>
        <w:rPr>
          <w:rFonts w:hint="eastAsia" w:ascii="仿宋" w:hAnsi="仿宋" w:eastAsia="仿宋"/>
          <w:b/>
          <w:bCs/>
          <w:sz w:val="18"/>
          <w:szCs w:val="18"/>
        </w:rPr>
        <w:t>运输</w:t>
      </w:r>
    </w:p>
    <w:p>
      <w:pPr>
        <w:adjustRightInd w:val="0"/>
        <w:snapToGrid w:val="0"/>
        <w:spacing w:line="312" w:lineRule="auto"/>
        <w:ind w:right="288" w:rightChars="137" w:firstLine="360" w:firstLineChars="200"/>
        <w:rPr>
          <w:rFonts w:hint="eastAsia" w:ascii="仿宋" w:hAnsi="仿宋" w:eastAsia="仿宋"/>
          <w:b/>
          <w:bCs/>
          <w:sz w:val="18"/>
          <w:szCs w:val="18"/>
        </w:rPr>
      </w:pPr>
      <w:r>
        <w:rPr>
          <w:rFonts w:hint="eastAsia" w:ascii="仿宋" w:hAnsi="仿宋" w:eastAsia="仿宋"/>
          <w:sz w:val="18"/>
          <w:szCs w:val="18"/>
        </w:rPr>
        <w:t>□</w:t>
      </w:r>
      <w:r>
        <w:rPr>
          <w:rFonts w:hint="eastAsia" w:ascii="仿宋" w:hAnsi="仿宋" w:eastAsia="仿宋"/>
          <w:b/>
          <w:bCs/>
          <w:sz w:val="18"/>
          <w:szCs w:val="18"/>
        </w:rPr>
        <w:t>境内外汇储蓄存款</w:t>
      </w:r>
      <w:r>
        <w:rPr>
          <w:rFonts w:ascii="仿宋" w:hAnsi="仿宋" w:eastAsia="仿宋"/>
          <w:b/>
          <w:bCs/>
          <w:sz w:val="18"/>
          <w:szCs w:val="18"/>
        </w:rPr>
        <w:tab/>
      </w:r>
      <w:r>
        <w:rPr>
          <w:rFonts w:ascii="仿宋" w:hAnsi="仿宋" w:eastAsia="仿宋"/>
          <w:b/>
          <w:bCs/>
          <w:sz w:val="18"/>
          <w:szCs w:val="18"/>
        </w:rPr>
        <w:tab/>
      </w:r>
      <w:r>
        <w:rPr>
          <w:rFonts w:hint="eastAsia" w:ascii="仿宋" w:hAnsi="仿宋" w:eastAsia="仿宋"/>
          <w:sz w:val="18"/>
          <w:szCs w:val="18"/>
        </w:rPr>
        <w:t>□</w:t>
      </w:r>
      <w:r>
        <w:rPr>
          <w:rFonts w:hint="eastAsia" w:ascii="仿宋" w:hAnsi="仿宋" w:eastAsia="仿宋"/>
          <w:b/>
          <w:bCs/>
          <w:sz w:val="18"/>
          <w:szCs w:val="18"/>
        </w:rPr>
        <w:t>购买境内外汇理财产品</w:t>
      </w:r>
    </w:p>
    <w:p>
      <w:pPr>
        <w:adjustRightInd w:val="0"/>
        <w:snapToGrid w:val="0"/>
        <w:spacing w:line="312" w:lineRule="auto"/>
        <w:ind w:right="288" w:rightChars="137" w:firstLine="360" w:firstLineChars="200"/>
        <w:rPr>
          <w:rFonts w:hint="eastAsia" w:ascii="仿宋" w:hAnsi="仿宋" w:eastAsia="仿宋"/>
          <w:b/>
          <w:bCs/>
          <w:sz w:val="18"/>
          <w:szCs w:val="18"/>
        </w:rPr>
      </w:pPr>
      <w:r>
        <w:rPr>
          <w:rFonts w:hint="eastAsia" w:ascii="仿宋" w:hAnsi="仿宋" w:eastAsia="仿宋"/>
          <w:sz w:val="18"/>
          <w:szCs w:val="18"/>
        </w:rPr>
        <w:t>□</w:t>
      </w:r>
      <w:r>
        <w:rPr>
          <w:rFonts w:hint="eastAsia" w:ascii="仿宋" w:hAnsi="仿宋" w:eastAsia="仿宋"/>
          <w:b/>
          <w:bCs/>
          <w:sz w:val="18"/>
          <w:szCs w:val="18"/>
        </w:rPr>
        <w:t xml:space="preserve">其他 </w:t>
      </w:r>
      <w:r>
        <w:rPr>
          <w:rFonts w:ascii="仿宋" w:hAnsi="仿宋" w:eastAsia="仿宋"/>
          <w:b/>
          <w:bCs/>
          <w:sz w:val="18"/>
          <w:szCs w:val="18"/>
        </w:rPr>
        <w:t xml:space="preserve"> </w:t>
      </w:r>
      <w:r>
        <w:rPr>
          <w:rFonts w:hint="eastAsia" w:ascii="仿宋" w:hAnsi="仿宋" w:eastAsia="仿宋"/>
          <w:b/>
          <w:bCs/>
          <w:sz w:val="18"/>
          <w:szCs w:val="18"/>
        </w:rPr>
        <w:t>（简要说明购汇用途）</w:t>
      </w:r>
    </w:p>
    <w:p>
      <w:pPr>
        <w:adjustRightInd w:val="0"/>
        <w:snapToGrid w:val="0"/>
        <w:spacing w:line="312" w:lineRule="auto"/>
        <w:ind w:right="288" w:rightChars="137" w:firstLine="361" w:firstLineChars="200"/>
        <w:rPr>
          <w:rFonts w:hint="eastAsia" w:ascii="仿宋" w:hAnsi="仿宋" w:eastAsia="仿宋"/>
          <w:b/>
          <w:bCs/>
          <w:sz w:val="18"/>
          <w:szCs w:val="18"/>
          <w:u w:val="single"/>
        </w:rPr>
      </w:pPr>
      <w:r>
        <w:rPr>
          <w:rFonts w:hint="eastAsia" w:ascii="仿宋" w:hAnsi="仿宋" w:eastAsia="仿宋"/>
          <w:b/>
          <w:bCs/>
          <w:sz w:val="18"/>
          <w:szCs w:val="18"/>
          <w:u w:val="single"/>
        </w:rPr>
        <w:t xml:space="preserve"> </w:t>
      </w:r>
      <w:r>
        <w:rPr>
          <w:rFonts w:ascii="仿宋" w:hAnsi="仿宋" w:eastAsia="仿宋"/>
          <w:b/>
          <w:bCs/>
          <w:sz w:val="18"/>
          <w:szCs w:val="18"/>
          <w:u w:val="single"/>
        </w:rPr>
        <w:t xml:space="preserve">                                                                                     </w:t>
      </w:r>
    </w:p>
    <w:p>
      <w:pPr>
        <w:adjustRightInd w:val="0"/>
        <w:snapToGrid w:val="0"/>
        <w:spacing w:line="288" w:lineRule="auto"/>
        <w:ind w:right="288" w:rightChars="137" w:firstLine="422" w:firstLineChars="200"/>
        <w:rPr>
          <w:rFonts w:hint="eastAsia" w:ascii="仿宋" w:hAnsi="仿宋" w:eastAsia="仿宋"/>
          <w:b/>
          <w:bCs/>
        </w:rPr>
      </w:pPr>
      <w:r>
        <w:rPr>
          <w:rFonts w:ascii="仿宋" w:hAnsi="仿宋" w:eastAsia="仿宋"/>
          <w:b/>
          <w:bCs/>
        </w:rPr>
        <w:t>本人已知晓上述内容，保证申报信息真笑有效，愿意配合金融机构进行真实性、合规性审核，愿意配合外汇管理机关调查和监督检查，并承担相应法律责任。</w:t>
      </w:r>
    </w:p>
    <w:p>
      <w:pPr>
        <w:adjustRightInd w:val="0"/>
        <w:snapToGrid w:val="0"/>
        <w:spacing w:line="288" w:lineRule="auto"/>
        <w:ind w:right="288" w:rightChars="137" w:firstLine="420" w:firstLineChars="200"/>
        <w:rPr>
          <w:rFonts w:hint="eastAsia" w:ascii="仿宋" w:hAnsi="仿宋" w:eastAsia="仿宋"/>
        </w:rPr>
      </w:pPr>
    </w:p>
    <w:p>
      <w:pPr>
        <w:wordWrap w:val="0"/>
        <w:adjustRightInd w:val="0"/>
        <w:snapToGrid w:val="0"/>
        <w:spacing w:line="288" w:lineRule="auto"/>
        <w:ind w:firstLine="420" w:firstLineChars="200"/>
        <w:jc w:val="right"/>
        <w:rPr>
          <w:rFonts w:hint="eastAsia" w:ascii="仿宋" w:hAnsi="仿宋" w:eastAsia="仿宋"/>
        </w:rPr>
      </w:pPr>
      <w:r>
        <w:rPr>
          <w:rFonts w:ascii="仿宋" w:hAnsi="仿宋" w:eastAsia="仿宋"/>
        </w:rPr>
        <w:t xml:space="preserve">本人或代理人签字:            </w:t>
      </w:r>
    </w:p>
    <w:p>
      <w:pPr>
        <w:wordWrap w:val="0"/>
        <w:adjustRightInd w:val="0"/>
        <w:snapToGrid w:val="0"/>
        <w:spacing w:line="288" w:lineRule="auto"/>
        <w:ind w:firstLine="420" w:firstLineChars="200"/>
        <w:jc w:val="right"/>
        <w:rPr>
          <w:rFonts w:hint="eastAsia" w:ascii="仿宋" w:hAnsi="仿宋" w:eastAsia="仿宋"/>
        </w:rPr>
      </w:pPr>
      <w:r>
        <w:rPr>
          <w:rFonts w:ascii="仿宋" w:hAnsi="仿宋" w:eastAsia="仿宋"/>
        </w:rPr>
        <w:t xml:space="preserve">日期:            </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center"/>
        <w:rPr>
          <w:rFonts w:hint="eastAsia" w:ascii="仿宋" w:hAnsi="仿宋" w:eastAsia="仿宋"/>
        </w:rPr>
      </w:pPr>
    </w:p>
    <w:p>
      <w:pPr>
        <w:adjustRightInd w:val="0"/>
        <w:snapToGrid w:val="0"/>
        <w:spacing w:line="312" w:lineRule="auto"/>
        <w:ind w:firstLine="420" w:firstLineChars="200"/>
        <w:jc w:val="center"/>
        <w:rPr>
          <w:rFonts w:hint="eastAsia" w:ascii="仿宋" w:hAnsi="仿宋" w:eastAsia="仿宋"/>
        </w:rPr>
      </w:pPr>
      <w:r>
        <w:rPr>
          <w:rFonts w:hint="eastAsia" w:ascii="仿宋" w:hAnsi="仿宋" w:eastAsia="仿宋"/>
        </w:rPr>
        <w:t>页1</w:t>
      </w:r>
    </w:p>
    <w:p>
      <w:pPr>
        <w:jc w:val="left"/>
        <w:rPr>
          <w:rFonts w:hint="eastAsia" w:ascii="仿宋" w:hAnsi="仿宋" w:eastAsia="仿宋"/>
        </w:rPr>
      </w:pPr>
      <w:r>
        <w:rPr>
          <w:rFonts w:ascii="仿宋" w:hAnsi="仿宋" w:eastAsia="仿宋"/>
        </w:rPr>
        <w:br w:type="page"/>
      </w:r>
    </w:p>
    <w:p>
      <w:pPr>
        <w:adjustRightInd w:val="0"/>
        <w:snapToGrid w:val="0"/>
        <w:spacing w:line="312" w:lineRule="auto"/>
        <w:jc w:val="center"/>
        <w:rPr>
          <w:rFonts w:hint="eastAsia" w:ascii="仿宋" w:hAnsi="仿宋" w:eastAsia="仿宋"/>
          <w:szCs w:val="21"/>
        </w:rPr>
      </w:pPr>
      <w:r>
        <w:rPr>
          <w:rFonts w:hint="eastAsia" w:ascii="仿宋" w:hAnsi="仿宋" w:eastAsia="仿宋"/>
          <w:szCs w:val="21"/>
        </w:rPr>
        <w:t>个人购汇申请书填报说明</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一、境内个人办理购汇业务时须填写《个人购汇申请书》（以下简称《申请书》）。</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购汇人（代理人）须本人自填写《申请书》，个人拒绝填写的，银行或个人本外币兑换特许业务经营机构有权拒绝为其办理购汇手续，严禁代为填写、签名或省略该流程。对无民事行为能力或限制民事行为能力的个人，可由其法定监护人填写。</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三、境内个人通过柜台、电子银行及个人本外币兑换特许业务经营机构互联网渠道办理购汇业务，均须真实、准确、完整填写《申请书》，并承担相应法律责任。纸质版和电子版《申请书》具有同等法律效力.</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四、“个人购汇基本信息”填写注意事项：</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（一）个人购汇基本信息应填写购汇人本人信息。</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购汇人姓名、购汇人身份证件号码、购汇币种/金额为必填项，应与本笔购汇业务实际信息一致，代理人受购汇人委托办理购汇业务时，代理人姓名、代理人身份证件号码亦为必填项，应根据代理人真实信息。</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五、个人应认真阅读《申请书》，确保购汇资金用途符合外汇管理规定，不涉及《申请书》列明的各类违规事项,知晓违法违规行为应承担的法律后果。</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六、“购汇用途”填写注意事项:</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（一）购汇用途只能单选，个人应根据实际用途勾选购汇用途项目.个人一次购汇存在多种用途的，应按金额从大原则填报。</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（二）个人实际用途不在《中请书》明确列明的十四项购汇用途项目之内的，应勾选“其他”项，并简要说明购汇用途。</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（三）个人购汇后暂不用汇的，应根据预计用途勾选购汇用途项目,</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七、《申请书》由本人签字并签署期。若为代办的，“本人或代理人签字”栏应填写代理人名,</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八、个人购汇后，如立即办理用汇，实际用途与填写的《申请书》不一致的，个人须重新填写《申请书》。</w:t>
      </w:r>
    </w:p>
    <w:p>
      <w:pPr>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r>
        <w:rPr>
          <w:rFonts w:ascii="仿宋" w:hAnsi="仿宋" w:eastAsia="仿宋"/>
        </w:rPr>
        <w:t>附件2</w:t>
      </w:r>
    </w:p>
    <w:p>
      <w:pPr>
        <w:adjustRightInd w:val="0"/>
        <w:snapToGrid w:val="0"/>
        <w:spacing w:line="312" w:lineRule="auto"/>
        <w:jc w:val="center"/>
        <w:rPr>
          <w:rFonts w:hint="eastAsia" w:ascii="仿宋" w:hAnsi="仿宋" w:eastAsia="仿宋"/>
          <w:szCs w:val="21"/>
        </w:rPr>
      </w:pPr>
      <w:r>
        <w:rPr>
          <w:rFonts w:hint="eastAsia" w:ascii="仿宋" w:hAnsi="仿宋" w:eastAsia="仿宋"/>
          <w:szCs w:val="21"/>
        </w:rPr>
        <w:t>电于银行个人购汇优化技术要求参考</w:t>
      </w:r>
    </w:p>
    <w:p>
      <w:pPr>
        <w:adjustRightInd w:val="0"/>
        <w:snapToGrid w:val="0"/>
        <w:spacing w:line="360" w:lineRule="auto"/>
        <w:ind w:firstLine="422" w:firstLineChars="200"/>
        <w:rPr>
          <w:rFonts w:hint="eastAsia" w:ascii="仿宋" w:hAnsi="仿宋" w:eastAsia="仿宋"/>
          <w:b/>
          <w:bCs/>
          <w:szCs w:val="21"/>
        </w:rPr>
      </w:pPr>
      <w:r>
        <w:rPr>
          <w:rFonts w:hint="eastAsia" w:ascii="仿宋" w:hAnsi="仿宋" w:eastAsia="仿宋"/>
          <w:b/>
          <w:bCs/>
          <w:szCs w:val="21"/>
        </w:rPr>
        <w:t>一、内容要求</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开办电子银行个人结售汇业务的银行应完成电子银行个人购汇优化，在客户进行电子银行个人购汇之前须提供《个人购汇中请书（网页版）》（以下简称《申请书》）阅读功能，具体内容见《申请书》模板（详见附1）。同时，应在客户填写时方便地访问《个人购汇中请书（网页版）填报说明》（以下简称《填报说明》），具体内容见《填报说明》模板（详见附2）。银行须按照附3内容完成购汇页面修改，按要求提供购汇用途填报和本人保证内容勾选功能。填报购汇用途与个人外汇业务系统（以下简称个人系统）的购汇用途对照表详见附4</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二、具体要求</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1.《申请书》、《填报说明》需分开显示。</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2.《申请书》按照附1的内容和格式显示，尤其是需要加粗的文字，必须加粗。不同电子银行渠道都应能完整显示内容,应能够通过滚动阅读。是否分页由银行自行掌握。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3.《中请书》应设置30秒强制阅读时间,在“下一步”按钮中显示倒数的秒数，倒计时结束前按钮应设置成不可点击。同时,“已阅读，本人已知晓上述内容”必须处于选中状态时，才能点击“下一步”按钮。</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4.点击“下一步”按钮后，进入具体购汇页面。购汇页面中需提供链接或者按钮,方便用户在填写过程中访问《填报说明》。《填报说明》按照《填报说明》模板的内容显示。</w:t>
      </w:r>
    </w:p>
    <w:p>
      <w:pPr>
        <w:adjustRightInd w:val="0"/>
        <w:snapToGrid w:val="0"/>
        <w:spacing w:line="360" w:lineRule="auto"/>
        <w:ind w:right="145" w:rightChars="69" w:firstLine="420" w:firstLineChars="200"/>
        <w:rPr>
          <w:rFonts w:hint="eastAsia" w:ascii="仿宋" w:hAnsi="仿宋" w:eastAsia="仿宋"/>
          <w:szCs w:val="21"/>
        </w:rPr>
      </w:pPr>
      <w:r>
        <w:rPr>
          <w:rFonts w:hint="eastAsia" w:ascii="仿宋" w:hAnsi="仿宋" w:eastAsia="仿宋"/>
          <w:szCs w:val="21"/>
        </w:rPr>
        <w:t>5.购汇页面中需改造原购汇资金属性,可按照两种方式进行。第一种，按照附3内容,增加一张完整的购汇用途表，可供客户进行单选，选中“其他”时，需简要说明购汇用途。第二种，在原个人系统购汇资金属性下拉列表中，将存在对照关系的原购汇资金属性修改为《申请书》中的购汇用途，其中“经批准的资本其他”应拆分为“境内外汇储蓄存款”和“购买境内外汇理财产品”两项。原个人系统购汇资金属性“其他服务”和“其他经常转移”应能正常选择，选中后需简要说明购汇用途。</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6.在通过联机接口向个人系统报送购汇资金属性时，按照除对照表关系,传输原有个人系统的购汇资金属性值。</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7.购汇页面底部需有提交和放弃按钮。提交按钮需购汇用途填写完成和“本人保证申报信息真实有效……”勾选框处于选中状态后,方可点击提交。提交后,银行须将《申请书》要求的个人基本信息和填报的购汇用途信息，与具体购汇记录进行关联,并按规定保存一定年限,供后期核查使用。</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8.如果点击购汇页面底部的放弃按钮，或关闭网页及未完成正常提交的，则停止后续购汇业务处理。</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三、其他要求</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个人本外币兑换特许业务经营机构应参照本技术要求参考对通过互联网办理的兑换业务进行优化。</w:t>
      </w:r>
    </w:p>
    <w:p>
      <w:pPr>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r>
        <w:rPr>
          <w:rFonts w:ascii="仿宋" w:hAnsi="仿宋" w:eastAsia="仿宋"/>
        </w:rPr>
        <w:t>附1</w:t>
      </w:r>
    </w:p>
    <w:p>
      <w:pPr>
        <w:adjustRightInd w:val="0"/>
        <w:snapToGrid w:val="0"/>
        <w:spacing w:line="312" w:lineRule="auto"/>
        <w:jc w:val="center"/>
        <w:rPr>
          <w:rFonts w:hint="eastAsia" w:ascii="仿宋" w:hAnsi="仿宋" w:eastAsia="仿宋"/>
          <w:sz w:val="32"/>
          <w:szCs w:val="32"/>
        </w:rPr>
      </w:pPr>
      <w:r>
        <w:rPr>
          <w:rFonts w:ascii="仿宋" w:hAnsi="仿宋" w:eastAsia="仿宋"/>
        </w:rPr>
        <mc:AlternateContent>
          <mc:Choice Requires="wps">
            <w:drawing>
              <wp:anchor distT="45720" distB="45720" distL="114300" distR="114300" simplePos="0" relativeHeight="251664384" behindDoc="0" locked="0" layoutInCell="1" allowOverlap="1">
                <wp:simplePos x="0" y="0"/>
                <wp:positionH relativeFrom="column">
                  <wp:posOffset>123825</wp:posOffset>
                </wp:positionH>
                <wp:positionV relativeFrom="paragraph">
                  <wp:posOffset>518160</wp:posOffset>
                </wp:positionV>
                <wp:extent cx="5076825" cy="7400925"/>
                <wp:effectExtent l="0" t="0" r="28575" b="2857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76825" cy="7400925"/>
                        </a:xfrm>
                        <a:prstGeom prst="rect">
                          <a:avLst/>
                        </a:prstGeom>
                        <a:solidFill>
                          <a:srgbClr val="FFFFFF"/>
                        </a:solidFill>
                        <a:ln w="9525">
                          <a:solidFill>
                            <a:srgbClr val="000000"/>
                          </a:solidFill>
                          <a:miter lim="800000"/>
                        </a:ln>
                      </wps:spPr>
                      <wps:txbx>
                        <w:txbxContent>
                          <w:p>
                            <w:pPr>
                              <w:adjustRightInd w:val="0"/>
                              <w:snapToGrid w:val="0"/>
                              <w:spacing w:before="120" w:beforeLines="50" w:line="384" w:lineRule="auto"/>
                              <w:ind w:firstLine="420" w:firstLineChars="200"/>
                              <w:rPr>
                                <w:rFonts w:hint="eastAsia" w:ascii="仿宋_GB2312" w:hAnsi="宋体" w:eastAsia="仿宋_GB2312"/>
                                <w:szCs w:val="21"/>
                              </w:rPr>
                            </w:pPr>
                            <w:r>
                              <w:rPr>
                                <w:rFonts w:hint="eastAsia" w:ascii="仿宋_GB2312" w:hAnsi="宋体" w:eastAsia="仿宋_GB2312"/>
                                <w:szCs w:val="21"/>
                              </w:rPr>
                              <w:t>根据《中华入民共和国外汇管理条例》（国务院令第532号）、《个人外汇管理办法》（中国人民银行令〔200</w:t>
                            </w:r>
                            <w:r>
                              <w:rPr>
                                <w:rFonts w:ascii="仿宋_GB2312" w:hAnsi="宋体" w:eastAsia="仿宋_GB2312"/>
                                <w:szCs w:val="21"/>
                              </w:rPr>
                              <w:t>6</w:t>
                            </w:r>
                            <w:r>
                              <w:rPr>
                                <w:rFonts w:hint="eastAsia" w:ascii="仿宋_GB2312" w:hAnsi="宋体" w:eastAsia="仿宋_GB2312"/>
                                <w:szCs w:val="21"/>
                              </w:rPr>
                              <w:t>〕第3号）等规定，个人购汇实行年度便利化额度管理，应当具有真实、合法的交易基础，如实申报购汇信息。</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一、依据法律法规，境内个人办理购汇业务时:</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1.不得虚假申报个人购汇信息;</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2.不得提供不笑的证明材料;</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3.不得出借本人便利化额度协助他人购汇;</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4.不得借用他人便利化额度实施分拼购汇;</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5.不得用于境外买房、证券投资、购买人寿保险和投资性返还分红类保险等尚未开放的资本项目;</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6.不得参与洗钱、赌博、逃税、地下钱庄交易等违法违规活动，</w:t>
                            </w:r>
                          </w:p>
                          <w:p>
                            <w:pPr>
                              <w:adjustRightInd w:val="0"/>
                              <w:snapToGrid w:val="0"/>
                              <w:spacing w:line="384" w:lineRule="auto"/>
                              <w:ind w:firstLine="422" w:firstLineChars="200"/>
                              <w:rPr>
                                <w:rFonts w:hint="eastAsia" w:ascii="仿宋_GB2312" w:hAnsi="宋体" w:eastAsia="仿宋_GB2312"/>
                              </w:rPr>
                            </w:pPr>
                            <w:r>
                              <w:rPr>
                                <w:rFonts w:hint="eastAsia" w:ascii="仿宋_GB2312" w:hAnsi="宋体" w:eastAsia="仿宋_GB2312"/>
                                <w:b/>
                                <w:bCs/>
                                <w:szCs w:val="21"/>
                              </w:rPr>
                              <w:t>二、外汇管理机关依法对个人外汇业务进行监督检查</w:t>
                            </w:r>
                            <w:r>
                              <w:rPr>
                                <w:rFonts w:hint="eastAsia" w:ascii="仿宋_GB2312" w:hAnsi="宋体" w:eastAsia="仿宋_GB2312"/>
                                <w:szCs w:val="21"/>
                              </w:rPr>
                              <w:t>。对于存在违规行为的个人，外汇管理机关依法列入“关注名单”管理.“关注名单”内个人列入“关注名单那|的当年及之后迷续2年不享有个人便利化额度。对于违反规定办理个人购汇业务的,外汇管理机关将依据《中华人民共和国外汇管理条例》等子以行政处罚,同时依法移送反洗钱调查，相关信息依法纳入个人征信记录。</w:t>
                            </w:r>
                          </w:p>
                          <w:p>
                            <w:pPr>
                              <w:adjustRightInd w:val="0"/>
                              <w:snapToGrid w:val="0"/>
                              <w:spacing w:line="312" w:lineRule="auto"/>
                              <w:ind w:firstLine="420" w:firstLineChars="200"/>
                              <w:rPr>
                                <w:rFonts w:hint="eastAsia" w:ascii="仿宋_GB2312" w:hAnsi="宋体" w:eastAsia="仿宋_GB2312"/>
                              </w:rPr>
                            </w:pPr>
                          </w:p>
                          <w:p>
                            <w:pPr>
                              <w:adjustRightInd w:val="0"/>
                              <w:snapToGrid w:val="0"/>
                              <w:spacing w:line="312" w:lineRule="auto"/>
                              <w:ind w:firstLine="420" w:firstLineChars="200"/>
                              <w:rPr>
                                <w:rFonts w:hint="eastAsia" w:ascii="仿宋_GB2312" w:hAnsi="宋体" w:eastAsia="仿宋_GB2312"/>
                              </w:rPr>
                            </w:pPr>
                          </w:p>
                          <w:p>
                            <w:pPr>
                              <w:adjustRightInd w:val="0"/>
                              <w:snapToGrid w:val="0"/>
                              <w:spacing w:line="312" w:lineRule="auto"/>
                              <w:ind w:firstLine="420" w:firstLineChars="200"/>
                              <w:rPr>
                                <w:rFonts w:hint="eastAsia" w:ascii="仿宋_GB2312" w:hAnsi="宋体" w:eastAsia="仿宋_GB2312"/>
                              </w:rPr>
                            </w:pPr>
                          </w:p>
                          <w:p>
                            <w:pPr>
                              <w:adjustRightInd w:val="0"/>
                              <w:snapToGrid w:val="0"/>
                              <w:spacing w:line="312" w:lineRule="auto"/>
                              <w:ind w:firstLine="420" w:firstLineChars="200"/>
                              <w:jc w:val="center"/>
                              <w:rPr>
                                <w:rFonts w:hint="eastAsia" w:ascii="宋体" w:hAnsi="宋体"/>
                              </w:rPr>
                            </w:pPr>
                            <w:r>
                              <w:rPr>
                                <w:rFonts w:hint="eastAsia" w:ascii="仿宋_GB2312" w:hAnsi="宋体" w:eastAsia="仿宋_GB2312"/>
                              </w:rPr>
                              <w:t>□已阅读，本人已知晓上述内容。</w:t>
                            </w:r>
                          </w:p>
                          <w:p>
                            <w:pPr>
                              <w:adjustRightInd w:val="0"/>
                              <w:snapToGrid w:val="0"/>
                              <w:spacing w:line="312" w:lineRule="auto"/>
                              <w:ind w:firstLine="420" w:firstLineChars="200"/>
                              <w:rPr>
                                <w:rFonts w:hint="eastAsia" w:ascii="宋体" w:hAnsi="宋体"/>
                              </w:rPr>
                            </w:pPr>
                          </w:p>
                          <w:p>
                            <w:pPr>
                              <w:adjustRightInd w:val="0"/>
                              <w:snapToGrid w:val="0"/>
                              <w:spacing w:line="312" w:lineRule="auto"/>
                              <w:ind w:left="3360" w:firstLine="210" w:firstLineChars="100"/>
                              <w:rPr>
                                <w:rFonts w:hint="eastAsia" w:ascii="宋体" w:hAnsi="宋体"/>
                              </w:rPr>
                            </w:pPr>
                            <w:r>
                              <w:rPr>
                                <w:rFonts w:ascii="宋体" w:hAnsi="宋体"/>
                              </w:rPr>
                              <w:t>下一步</w:t>
                            </w:r>
                          </w:p>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9.75pt;margin-top:40.8pt;height:582.75pt;width:399.75pt;mso-wrap-distance-bottom:3.6pt;mso-wrap-distance-left:9pt;mso-wrap-distance-right:9pt;mso-wrap-distance-top:3.6pt;z-index:251664384;mso-width-relative:page;mso-height-relative:page;" fillcolor="#FFFFFF" filled="t" stroked="t" coordsize="21600,21600" o:gfxdata="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1nc6dgAAAAKAQAADwAAAAAAAAABACAAAAAiAAAAZHJzL2Rv&#10;d25yZXYueG1sUEsBAhQAFAAAAAgAh07iQJGEJoc6AgAAfgQAAA4AAAAAAAAAAQAgAAAAJwEAAGRy&#10;cy9lMm9Eb2MueG1sUEsFBgAAAAAGAAYAWQEAANMFAAAAAA==&#10;">
                <v:fill on="t" focussize="0,0"/>
                <v:stroke color="#000000" miterlimit="8" joinstyle="miter"/>
                <v:imagedata o:title=""/>
                <o:lock v:ext="edit" aspectratio="f"/>
                <v:textbox>
                  <w:txbxContent>
                    <w:p>
                      <w:pPr>
                        <w:adjustRightInd w:val="0"/>
                        <w:snapToGrid w:val="0"/>
                        <w:spacing w:before="120" w:beforeLines="50" w:line="384" w:lineRule="auto"/>
                        <w:ind w:firstLine="420" w:firstLineChars="200"/>
                        <w:rPr>
                          <w:rFonts w:hint="eastAsia" w:ascii="仿宋_GB2312" w:hAnsi="宋体" w:eastAsia="仿宋_GB2312"/>
                          <w:szCs w:val="21"/>
                        </w:rPr>
                      </w:pPr>
                      <w:r>
                        <w:rPr>
                          <w:rFonts w:hint="eastAsia" w:ascii="仿宋_GB2312" w:hAnsi="宋体" w:eastAsia="仿宋_GB2312"/>
                          <w:szCs w:val="21"/>
                        </w:rPr>
                        <w:t>根据《中华入民共和国外汇管理条例》（国务院令第532号）、《个人外汇管理办法》（中国人民银行令〔200</w:t>
                      </w:r>
                      <w:r>
                        <w:rPr>
                          <w:rFonts w:ascii="仿宋_GB2312" w:hAnsi="宋体" w:eastAsia="仿宋_GB2312"/>
                          <w:szCs w:val="21"/>
                        </w:rPr>
                        <w:t>6</w:t>
                      </w:r>
                      <w:r>
                        <w:rPr>
                          <w:rFonts w:hint="eastAsia" w:ascii="仿宋_GB2312" w:hAnsi="宋体" w:eastAsia="仿宋_GB2312"/>
                          <w:szCs w:val="21"/>
                        </w:rPr>
                        <w:t>〕第3号）等规定，个人购汇实行年度便利化额度管理，应当具有真实、合法的交易基础，如实申报购汇信息。</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一、依据法律法规，境内个人办理购汇业务时:</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1.不得虚假申报个人购汇信息;</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2.不得提供不笑的证明材料;</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3.不得出借本人便利化额度协助他人购汇;</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4.不得借用他人便利化额度实施分拼购汇;</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5.不得用于境外买房、证券投资、购买人寿保险和投资性返还分红类保险等尚未开放的资本项目;</w:t>
                      </w:r>
                    </w:p>
                    <w:p>
                      <w:pPr>
                        <w:adjustRightInd w:val="0"/>
                        <w:snapToGrid w:val="0"/>
                        <w:spacing w:line="384" w:lineRule="auto"/>
                        <w:ind w:firstLine="422" w:firstLineChars="200"/>
                        <w:rPr>
                          <w:rFonts w:hint="eastAsia" w:ascii="仿宋_GB2312" w:hAnsi="宋体" w:eastAsia="仿宋_GB2312"/>
                          <w:b/>
                          <w:bCs/>
                          <w:szCs w:val="21"/>
                        </w:rPr>
                      </w:pPr>
                      <w:r>
                        <w:rPr>
                          <w:rFonts w:hint="eastAsia" w:ascii="仿宋_GB2312" w:hAnsi="宋体" w:eastAsia="仿宋_GB2312"/>
                          <w:b/>
                          <w:bCs/>
                          <w:szCs w:val="21"/>
                        </w:rPr>
                        <w:t>6.不得参与洗钱、赌博、逃税、地下钱庄交易等违法违规活动，</w:t>
                      </w:r>
                    </w:p>
                    <w:p>
                      <w:pPr>
                        <w:adjustRightInd w:val="0"/>
                        <w:snapToGrid w:val="0"/>
                        <w:spacing w:line="384" w:lineRule="auto"/>
                        <w:ind w:firstLine="422" w:firstLineChars="200"/>
                        <w:rPr>
                          <w:rFonts w:hint="eastAsia" w:ascii="仿宋_GB2312" w:hAnsi="宋体" w:eastAsia="仿宋_GB2312"/>
                        </w:rPr>
                      </w:pPr>
                      <w:r>
                        <w:rPr>
                          <w:rFonts w:hint="eastAsia" w:ascii="仿宋_GB2312" w:hAnsi="宋体" w:eastAsia="仿宋_GB2312"/>
                          <w:b/>
                          <w:bCs/>
                          <w:szCs w:val="21"/>
                        </w:rPr>
                        <w:t>二、外汇管理机关依法对个人外汇业务进行监督检查</w:t>
                      </w:r>
                      <w:r>
                        <w:rPr>
                          <w:rFonts w:hint="eastAsia" w:ascii="仿宋_GB2312" w:hAnsi="宋体" w:eastAsia="仿宋_GB2312"/>
                          <w:szCs w:val="21"/>
                        </w:rPr>
                        <w:t>。对于存在违规行为的个人，外汇管理机关依法列入“关注名单”管理.“关注名单”内个人列入“关注名单那|的当年及之后迷续2年不享有个人便利化额度。对于违反规定办理个人购汇业务的,外汇管理机关将依据《中华人民共和国外汇管理条例》等子以行政处罚,同时依法移送反洗钱调查，相关信息依法纳入个人征信记录。</w:t>
                      </w:r>
                    </w:p>
                    <w:p>
                      <w:pPr>
                        <w:adjustRightInd w:val="0"/>
                        <w:snapToGrid w:val="0"/>
                        <w:spacing w:line="312" w:lineRule="auto"/>
                        <w:ind w:firstLine="420" w:firstLineChars="200"/>
                        <w:rPr>
                          <w:rFonts w:hint="eastAsia" w:ascii="仿宋_GB2312" w:hAnsi="宋体" w:eastAsia="仿宋_GB2312"/>
                        </w:rPr>
                      </w:pPr>
                    </w:p>
                    <w:p>
                      <w:pPr>
                        <w:adjustRightInd w:val="0"/>
                        <w:snapToGrid w:val="0"/>
                        <w:spacing w:line="312" w:lineRule="auto"/>
                        <w:ind w:firstLine="420" w:firstLineChars="200"/>
                        <w:rPr>
                          <w:rFonts w:hint="eastAsia" w:ascii="仿宋_GB2312" w:hAnsi="宋体" w:eastAsia="仿宋_GB2312"/>
                        </w:rPr>
                      </w:pPr>
                    </w:p>
                    <w:p>
                      <w:pPr>
                        <w:adjustRightInd w:val="0"/>
                        <w:snapToGrid w:val="0"/>
                        <w:spacing w:line="312" w:lineRule="auto"/>
                        <w:ind w:firstLine="420" w:firstLineChars="200"/>
                        <w:rPr>
                          <w:rFonts w:hint="eastAsia" w:ascii="仿宋_GB2312" w:hAnsi="宋体" w:eastAsia="仿宋_GB2312"/>
                        </w:rPr>
                      </w:pPr>
                    </w:p>
                    <w:p>
                      <w:pPr>
                        <w:adjustRightInd w:val="0"/>
                        <w:snapToGrid w:val="0"/>
                        <w:spacing w:line="312" w:lineRule="auto"/>
                        <w:ind w:firstLine="420" w:firstLineChars="200"/>
                        <w:jc w:val="center"/>
                        <w:rPr>
                          <w:rFonts w:hint="eastAsia" w:ascii="宋体" w:hAnsi="宋体"/>
                        </w:rPr>
                      </w:pPr>
                      <w:r>
                        <w:rPr>
                          <w:rFonts w:hint="eastAsia" w:ascii="仿宋_GB2312" w:hAnsi="宋体" w:eastAsia="仿宋_GB2312"/>
                        </w:rPr>
                        <w:t>□已阅读，本人已知晓上述内容。</w:t>
                      </w:r>
                    </w:p>
                    <w:p>
                      <w:pPr>
                        <w:adjustRightInd w:val="0"/>
                        <w:snapToGrid w:val="0"/>
                        <w:spacing w:line="312" w:lineRule="auto"/>
                        <w:ind w:firstLine="420" w:firstLineChars="200"/>
                        <w:rPr>
                          <w:rFonts w:hint="eastAsia" w:ascii="宋体" w:hAnsi="宋体"/>
                        </w:rPr>
                      </w:pPr>
                    </w:p>
                    <w:p>
                      <w:pPr>
                        <w:adjustRightInd w:val="0"/>
                        <w:snapToGrid w:val="0"/>
                        <w:spacing w:line="312" w:lineRule="auto"/>
                        <w:ind w:left="3360" w:firstLine="210" w:firstLineChars="100"/>
                        <w:rPr>
                          <w:rFonts w:hint="eastAsia" w:ascii="宋体" w:hAnsi="宋体"/>
                        </w:rPr>
                      </w:pPr>
                      <w:r>
                        <w:rPr>
                          <w:rFonts w:ascii="宋体" w:hAnsi="宋体"/>
                        </w:rPr>
                        <w:t>下一步</w:t>
                      </w:r>
                    </w:p>
                    <w:p/>
                  </w:txbxContent>
                </v:textbox>
                <w10:wrap type="square"/>
              </v:shape>
            </w:pict>
          </mc:Fallback>
        </mc:AlternateContent>
      </w:r>
      <w:r>
        <w:rPr>
          <w:rFonts w:hint="eastAsia" w:ascii="仿宋" w:hAnsi="仿宋" w:eastAsia="仿宋"/>
          <w:sz w:val="32"/>
          <w:szCs w:val="32"/>
        </w:rPr>
        <w:t>个人购汇申请书（网页版）</w:t>
      </w:r>
    </w:p>
    <w:p>
      <w:pPr>
        <w:adjustRightInd w:val="0"/>
        <w:snapToGrid w:val="0"/>
        <w:spacing w:line="312" w:lineRule="auto"/>
        <w:ind w:firstLine="420" w:firstLineChars="200"/>
        <w:rPr>
          <w:rFonts w:hint="eastAsia" w:ascii="仿宋" w:hAnsi="仿宋" w:eastAsia="仿宋"/>
        </w:rPr>
      </w:pPr>
    </w:p>
    <w:p>
      <w:pPr>
        <w:jc w:val="left"/>
        <w:rPr>
          <w:rFonts w:hint="eastAsia" w:ascii="仿宋" w:hAnsi="仿宋" w:eastAsia="仿宋"/>
        </w:rPr>
      </w:pPr>
      <w:r>
        <w:rPr>
          <w:rFonts w:ascii="仿宋" w:hAnsi="仿宋" w:eastAsia="仿宋"/>
        </w:rPr>
        <mc:AlternateContent>
          <mc:Choice Requires="wps">
            <w:drawing>
              <wp:anchor distT="0" distB="0" distL="114300" distR="114300" simplePos="0" relativeHeight="251665408" behindDoc="0" locked="0" layoutInCell="1" allowOverlap="1">
                <wp:simplePos x="0" y="0"/>
                <wp:positionH relativeFrom="column">
                  <wp:posOffset>2343150</wp:posOffset>
                </wp:positionH>
                <wp:positionV relativeFrom="paragraph">
                  <wp:posOffset>5497830</wp:posOffset>
                </wp:positionV>
                <wp:extent cx="800100" cy="257175"/>
                <wp:effectExtent l="38100" t="57150" r="57150" b="47625"/>
                <wp:wrapNone/>
                <wp:docPr id="2" name="矩形: 圆角 2"/>
                <wp:cNvGraphicFramePr/>
                <a:graphic xmlns:a="http://schemas.openxmlformats.org/drawingml/2006/main">
                  <a:graphicData uri="http://schemas.microsoft.com/office/word/2010/wordprocessingShape">
                    <wps:wsp>
                      <wps:cNvSpPr/>
                      <wps:spPr>
                        <a:xfrm>
                          <a:off x="0" y="0"/>
                          <a:ext cx="800100" cy="257175"/>
                        </a:xfrm>
                        <a:prstGeom prst="roundRect">
                          <a:avLst/>
                        </a:prstGeom>
                        <a:noFill/>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2" o:spid="_x0000_s1026" o:spt="2" style="position:absolute;left:0pt;margin-left:184.5pt;margin-top:432.9pt;height:20.25pt;width:63pt;z-index:251665408;v-text-anchor:middle;mso-width-relative:page;mso-height-relative:page;" filled="f" stroked="t" coordsize="21600,21600" arcsize="0.166666666666667" o:gfxdata="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LXdHWNkAAAAL&#10;AQAADwAAAAAAAAABACAAAAAiAAAAZHJzL2Rvd25yZXYueG1sUEsBAhQAFAAAAAgAh07iQMF34HXG&#10;AgAAcgUAAA4AAAAAAAAAAQAgAAAAKAEAAGRycy9lMm9Eb2MueG1sUEsFBgAAAAAGAAYAWQEAAGAG&#10;AAAAAA==&#10;">
                <v:fill on="f" focussize="0,0"/>
                <v:stroke weight="1pt" color="#41719C [3204]" miterlimit="8" joinstyle="miter"/>
                <v:imagedata o:title=""/>
                <o:lock v:ext="edit" aspectratio="f"/>
              </v:roundrect>
            </w:pict>
          </mc:Fallback>
        </mc:AlternateContent>
      </w: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r>
        <w:rPr>
          <w:rFonts w:ascii="仿宋" w:hAnsi="仿宋" w:eastAsia="仿宋"/>
        </w:rPr>
        <w:t>附2</w:t>
      </w:r>
    </w:p>
    <w:p>
      <w:pPr>
        <w:adjustRightInd w:val="0"/>
        <w:snapToGrid w:val="0"/>
        <w:spacing w:line="312" w:lineRule="auto"/>
        <w:jc w:val="center"/>
        <w:rPr>
          <w:rFonts w:hint="eastAsia" w:ascii="仿宋" w:hAnsi="仿宋" w:eastAsia="仿宋"/>
          <w:sz w:val="28"/>
          <w:szCs w:val="28"/>
        </w:rPr>
      </w:pPr>
      <w:r>
        <w:rPr>
          <w:rFonts w:hint="eastAsia" w:ascii="仿宋" w:hAnsi="仿宋" w:eastAsia="仿宋"/>
          <w:sz w:val="28"/>
          <w:szCs w:val="28"/>
        </w:rPr>
        <w:t>个人购汇申请书（网页版）填报说明</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一、境内个人办理购汇业务时须填写《个人购汇申请书》（以下简称《申请书》）,</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购汇人须本人亲自填写《申请书》，个人拒绝填写的，银行或个人本外币兑换特许业多经营机构有权拒绝为其办理购汇手续，严禁代为填写或省略该流程。对无民事行为能力或限制民事行为能力的个人，可由其法定监护人填写.</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三、境内个人通过柜台、电子银行及个人本外币兑换特许业务经营机构互联网渠道办理购汇业务，均须真实、准确、完整填写《申请书》，并承担相应法律责任.纸质版和电子版《中请书》具有同等法律效力.</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四、个人应认真阅读《申请书》，确保购汇资金用途符合外汇管理规定，不涉及《申请书》列明的各类违规事项，知晓违法违规行为应承担的法律后果.五、“购汇用途”填写注意事项</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（一）购汇用途只能单选，个人应根据实际用途勾选购汇用途项目.个人一以次购汇存在多种用途的，应按金额从大原则填报。</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（二）个人实际用途不在《申请书》明确列明的十四项购汇用途项目之内的，应勾选“其他”项，并简要说明购汇用途。</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（三）个人购汇后暂不用汇的，应根据预计用途勾选购汇用途项目。</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六、个人对《申请书》填写信息确认无误后点击“提交”按钮完成购汇申请．若点击“放弃”按钮，可退出本次业务流程，终止购汇。</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七、个人购汇后，如立即办理用汇，实际用途与填写的《申请书》不一致的，个人须重新填写《申请书》。</w:t>
      </w:r>
    </w:p>
    <w:p>
      <w:pPr>
        <w:adjustRightInd w:val="0"/>
        <w:snapToGrid w:val="0"/>
        <w:spacing w:line="360" w:lineRule="auto"/>
        <w:ind w:firstLine="200"/>
        <w:jc w:val="left"/>
        <w:rPr>
          <w:rFonts w:hint="eastAsia" w:ascii="仿宋" w:hAnsi="仿宋" w:eastAsia="仿宋"/>
          <w:szCs w:val="21"/>
        </w:rPr>
      </w:pPr>
      <w:r>
        <w:rPr>
          <w:rFonts w:hint="eastAsia" w:ascii="仿宋" w:hAnsi="仿宋" w:eastAsia="仿宋"/>
          <w:szCs w:val="21"/>
        </w:rPr>
        <w:br w:type="page"/>
      </w:r>
    </w:p>
    <w:p>
      <w:pPr>
        <w:adjustRightInd w:val="0"/>
        <w:snapToGrid w:val="0"/>
        <w:spacing w:line="312" w:lineRule="auto"/>
        <w:ind w:firstLine="420" w:firstLineChars="200"/>
        <w:rPr>
          <w:rFonts w:hint="eastAsia" w:ascii="仿宋" w:hAnsi="仿宋" w:eastAsia="仿宋"/>
        </w:rPr>
      </w:pPr>
      <w:r>
        <w:rPr>
          <w:rFonts w:ascii="仿宋" w:hAnsi="仿宋" w:eastAsia="仿宋"/>
        </w:rPr>
        <w:drawing>
          <wp:inline distT="0" distB="0" distL="0" distR="0">
            <wp:extent cx="4638675" cy="4829175"/>
            <wp:effectExtent l="0" t="0" r="9525" b="9525"/>
            <wp:docPr id="3" name="图片 3" descr="文本,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表格&#10;&#10;描述已自动生成"/>
                    <pic:cNvPicPr>
                      <a:picLocks noChangeAspect="1"/>
                    </pic:cNvPicPr>
                  </pic:nvPicPr>
                  <pic:blipFill>
                    <a:blip r:embed="rId134"/>
                    <a:stretch>
                      <a:fillRect/>
                    </a:stretch>
                  </pic:blipFill>
                  <pic:spPr>
                    <a:xfrm>
                      <a:off x="0" y="0"/>
                      <a:ext cx="4638675" cy="4829175"/>
                    </a:xfrm>
                    <a:prstGeom prst="rect">
                      <a:avLst/>
                    </a:prstGeom>
                  </pic:spPr>
                </pic:pic>
              </a:graphicData>
            </a:graphic>
          </wp:inline>
        </w:drawing>
      </w:r>
    </w:p>
    <w:p>
      <w:pPr>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附4</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jc w:val="center"/>
        <w:rPr>
          <w:rFonts w:hint="eastAsia" w:ascii="仿宋" w:hAnsi="仿宋" w:eastAsia="仿宋"/>
          <w:sz w:val="28"/>
          <w:szCs w:val="28"/>
        </w:rPr>
      </w:pPr>
      <w:r>
        <w:rPr>
          <w:rFonts w:hint="eastAsia" w:ascii="仿宋" w:hAnsi="仿宋" w:eastAsia="仿宋"/>
          <w:sz w:val="28"/>
          <w:szCs w:val="28"/>
        </w:rPr>
        <w:t>购汇资金属性对照表（网页版）</w:t>
      </w:r>
    </w:p>
    <w:tbl>
      <w:tblPr>
        <w:tblStyle w:val="58"/>
        <w:tblW w:w="8354" w:type="dxa"/>
        <w:tblInd w:w="0" w:type="dxa"/>
        <w:tblLayout w:type="autofit"/>
        <w:tblCellMar>
          <w:top w:w="0" w:type="dxa"/>
          <w:left w:w="108" w:type="dxa"/>
          <w:bottom w:w="0" w:type="dxa"/>
          <w:right w:w="108" w:type="dxa"/>
        </w:tblCellMar>
      </w:tblPr>
      <w:tblGrid>
        <w:gridCol w:w="3980"/>
        <w:gridCol w:w="4374"/>
      </w:tblGrid>
      <w:tr>
        <w:tblPrEx>
          <w:tblCellMar>
            <w:top w:w="0" w:type="dxa"/>
            <w:left w:w="108" w:type="dxa"/>
            <w:bottom w:w="0" w:type="dxa"/>
            <w:right w:w="108" w:type="dxa"/>
          </w:tblCellMar>
        </w:tblPrEx>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b/>
                <w:bCs/>
                <w:color w:val="000000"/>
                <w:kern w:val="0"/>
              </w:rPr>
            </w:pPr>
            <w:r>
              <w:rPr>
                <w:rFonts w:hint="eastAsia" w:ascii="仿宋" w:hAnsi="仿宋" w:eastAsia="仿宋" w:cs="宋体"/>
                <w:b/>
                <w:bCs/>
                <w:color w:val="000000"/>
                <w:kern w:val="0"/>
              </w:rPr>
              <w:t>《申请书》购汇用途</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b/>
                <w:bCs/>
                <w:color w:val="000000"/>
                <w:kern w:val="0"/>
              </w:rPr>
            </w:pPr>
            <w:r>
              <w:rPr>
                <w:rFonts w:hint="eastAsia" w:ascii="仿宋" w:hAnsi="仿宋" w:eastAsia="仿宋" w:cs="宋体"/>
                <w:b/>
                <w:bCs/>
                <w:color w:val="000000"/>
                <w:kern w:val="0"/>
              </w:rPr>
              <w:t>个人系统购汇资金属性</w:t>
            </w:r>
          </w:p>
        </w:tc>
      </w:tr>
      <w:tr>
        <w:tblPrEx>
          <w:tblCellMar>
            <w:top w:w="0" w:type="dxa"/>
            <w:left w:w="108" w:type="dxa"/>
            <w:bottom w:w="0" w:type="dxa"/>
            <w:right w:w="108" w:type="dxa"/>
          </w:tblCellMar>
        </w:tblPrEx>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因私旅游</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因私旅游</w:t>
            </w:r>
          </w:p>
        </w:tc>
      </w:tr>
      <w:tr>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境外留学</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自费出境学习</w:t>
            </w:r>
          </w:p>
        </w:tc>
      </w:tr>
      <w:tr>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公务及商务出国</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公务及商务出国</w:t>
            </w:r>
          </w:p>
        </w:tc>
      </w:tr>
      <w:tr>
        <w:tblPrEx>
          <w:tblCellMar>
            <w:top w:w="0" w:type="dxa"/>
            <w:left w:w="108" w:type="dxa"/>
            <w:bottom w:w="0" w:type="dxa"/>
            <w:right w:w="108" w:type="dxa"/>
          </w:tblCellMar>
        </w:tblPrEx>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探亲</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因私旅游</w:t>
            </w:r>
          </w:p>
        </w:tc>
      </w:tr>
      <w:tr>
        <w:tblPrEx>
          <w:tblCellMar>
            <w:top w:w="0" w:type="dxa"/>
            <w:left w:w="108" w:type="dxa"/>
            <w:bottom w:w="0" w:type="dxa"/>
            <w:right w:w="108" w:type="dxa"/>
          </w:tblCellMar>
        </w:tblPrEx>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境外就医</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旅游项下其他</w:t>
            </w:r>
          </w:p>
        </w:tc>
      </w:tr>
      <w:tr>
        <w:tblPrEx>
          <w:tblCellMar>
            <w:top w:w="0" w:type="dxa"/>
            <w:left w:w="108" w:type="dxa"/>
            <w:bottom w:w="0" w:type="dxa"/>
            <w:right w:w="108" w:type="dxa"/>
          </w:tblCellMar>
        </w:tblPrEx>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海外购物</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货物贸易</w:t>
            </w:r>
          </w:p>
        </w:tc>
      </w:tr>
      <w:tr>
        <w:tblPrEx>
          <w:tblCellMar>
            <w:top w:w="0" w:type="dxa"/>
            <w:left w:w="108" w:type="dxa"/>
            <w:bottom w:w="0" w:type="dxa"/>
            <w:right w:w="108" w:type="dxa"/>
          </w:tblCellMar>
        </w:tblPrEx>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非投资类保险</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金融和保险服务</w:t>
            </w:r>
          </w:p>
        </w:tc>
      </w:tr>
      <w:tr>
        <w:tblPrEx>
          <w:tblCellMar>
            <w:top w:w="0" w:type="dxa"/>
            <w:left w:w="108" w:type="dxa"/>
            <w:bottom w:w="0" w:type="dxa"/>
            <w:right w:w="108" w:type="dxa"/>
          </w:tblCellMar>
        </w:tblPrEx>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咨询服务</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咨询服务</w:t>
            </w:r>
          </w:p>
        </w:tc>
      </w:tr>
      <w:tr>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职工报酬和赡家款</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职工报酬和赡家款</w:t>
            </w:r>
          </w:p>
        </w:tc>
      </w:tr>
      <w:tr>
        <w:tblPrEx>
          <w:tblCellMar>
            <w:top w:w="0" w:type="dxa"/>
            <w:left w:w="108" w:type="dxa"/>
            <w:bottom w:w="0" w:type="dxa"/>
            <w:right w:w="108" w:type="dxa"/>
          </w:tblCellMar>
        </w:tblPrEx>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专有权利使用费和特许费</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专有权利使用费和特许费</w:t>
            </w:r>
          </w:p>
        </w:tc>
      </w:tr>
      <w:tr>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投资收益</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投资收益</w:t>
            </w:r>
          </w:p>
        </w:tc>
      </w:tr>
      <w:tr>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运输</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运输</w:t>
            </w:r>
          </w:p>
        </w:tc>
      </w:tr>
      <w:tr>
        <w:tblPrEx>
          <w:tblCellMar>
            <w:top w:w="0" w:type="dxa"/>
            <w:left w:w="108" w:type="dxa"/>
            <w:bottom w:w="0" w:type="dxa"/>
            <w:right w:w="108" w:type="dxa"/>
          </w:tblCellMar>
        </w:tblPrEx>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境内外汇储蓄存款</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经批准的资本其他</w:t>
            </w:r>
          </w:p>
        </w:tc>
      </w:tr>
      <w:tr>
        <w:tblPrEx>
          <w:tblCellMar>
            <w:top w:w="0" w:type="dxa"/>
            <w:left w:w="108" w:type="dxa"/>
            <w:bottom w:w="0" w:type="dxa"/>
            <w:right w:w="108" w:type="dxa"/>
          </w:tblCellMar>
        </w:tblPrEx>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购买境内外汇理财产品</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经批准的资本其他</w:t>
            </w:r>
          </w:p>
        </w:tc>
      </w:tr>
      <w:tr>
        <w:tblPrEx>
          <w:tblCellMar>
            <w:top w:w="0" w:type="dxa"/>
            <w:left w:w="108" w:type="dxa"/>
            <w:bottom w:w="0" w:type="dxa"/>
            <w:right w:w="108" w:type="dxa"/>
          </w:tblCellMar>
        </w:tblPrEx>
        <w:trPr>
          <w:trHeight w:val="454" w:hRule="exact"/>
        </w:trPr>
        <w:tc>
          <w:tcPr>
            <w:tcW w:w="3980"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其他</w:t>
            </w:r>
          </w:p>
        </w:tc>
        <w:tc>
          <w:tcPr>
            <w:tcW w:w="4374" w:type="dxa"/>
            <w:tcBorders>
              <w:top w:val="single" w:color="000000" w:sz="8" w:space="0"/>
              <w:left w:val="single" w:color="000000" w:sz="8" w:space="0"/>
              <w:bottom w:val="single" w:color="000000" w:sz="8" w:space="0"/>
              <w:right w:val="single" w:color="000000" w:sz="8" w:space="0"/>
            </w:tcBorders>
            <w:shd w:val="clear" w:color="auto" w:fill="auto"/>
            <w:noWrap/>
            <w:vAlign w:val="center"/>
          </w:tcPr>
          <w:p>
            <w:pPr>
              <w:spacing w:after="160" w:line="276" w:lineRule="auto"/>
              <w:rPr>
                <w:rFonts w:hint="eastAsia" w:ascii="仿宋" w:hAnsi="仿宋" w:eastAsia="仿宋" w:cs="宋体"/>
                <w:color w:val="000000"/>
                <w:kern w:val="0"/>
              </w:rPr>
            </w:pPr>
            <w:r>
              <w:rPr>
                <w:rFonts w:hint="eastAsia" w:ascii="仿宋" w:hAnsi="仿宋" w:eastAsia="仿宋" w:cs="宋体"/>
                <w:color w:val="000000"/>
                <w:kern w:val="0"/>
              </w:rPr>
              <w:t>其他服务、其他经常转移</w:t>
            </w:r>
          </w:p>
        </w:tc>
      </w:tr>
    </w:tbl>
    <w:p>
      <w:pPr>
        <w:adjustRightInd w:val="0"/>
        <w:snapToGrid w:val="0"/>
        <w:spacing w:line="300" w:lineRule="auto"/>
        <w:ind w:firstLine="420" w:firstLineChars="200"/>
        <w:rPr>
          <w:rFonts w:hint="eastAsia" w:ascii="仿宋" w:hAnsi="仿宋" w:eastAsia="仿宋"/>
          <w:bCs/>
          <w:szCs w:val="21"/>
        </w:rPr>
      </w:pPr>
      <w:bookmarkStart w:id="211" w:name="_Toc520919411"/>
      <w:bookmarkStart w:id="212" w:name="_Toc33532633"/>
      <w:bookmarkStart w:id="213" w:name="_Toc520919700"/>
    </w:p>
    <w:p>
      <w:pPr>
        <w:adjustRightInd w:val="0"/>
        <w:snapToGrid w:val="0"/>
        <w:spacing w:line="300" w:lineRule="auto"/>
        <w:ind w:firstLine="420" w:firstLineChars="200"/>
        <w:rPr>
          <w:rFonts w:hint="eastAsia" w:ascii="仿宋" w:hAnsi="仿宋" w:eastAsia="仿宋"/>
          <w:bCs/>
          <w:szCs w:val="21"/>
        </w:rPr>
      </w:pPr>
      <w:r>
        <w:rPr>
          <w:rFonts w:ascii="仿宋" w:hAnsi="仿宋" w:eastAsia="仿宋"/>
          <w:bCs/>
          <w:szCs w:val="21"/>
        </w:rPr>
        <w:br w:type="page"/>
      </w:r>
      <w:bookmarkEnd w:id="211"/>
      <w:bookmarkEnd w:id="212"/>
      <w:bookmarkEnd w:id="213"/>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