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20" w:afterLines="50" w:line="240" w:lineRule="auto"/>
        <w:jc w:val="center"/>
        <w:rPr>
          <w:rFonts w:hint="eastAsia" w:ascii="仿宋" w:hAnsi="仿宋" w:eastAsia="仿宋"/>
          <w:sz w:val="21"/>
          <w:szCs w:val="21"/>
        </w:rPr>
      </w:pPr>
      <w:bookmarkStart w:id="648" w:name="_Toc520919726"/>
      <w:bookmarkStart w:id="649" w:name="_Toc33532703"/>
      <w:bookmarkStart w:id="650" w:name="_Toc520919437"/>
      <w:bookmarkStart w:id="651" w:name="_Toc25045"/>
      <w:r>
        <w:rPr>
          <w:rFonts w:hint="eastAsia" w:ascii="仿宋" w:hAnsi="仿宋" w:eastAsia="仿宋"/>
          <w:sz w:val="21"/>
          <w:szCs w:val="21"/>
        </w:rPr>
        <w:t xml:space="preserve">59 </w:t>
      </w:r>
      <w:r>
        <w:rPr>
          <w:rFonts w:ascii="仿宋" w:hAnsi="仿宋" w:eastAsia="仿宋"/>
          <w:sz w:val="21"/>
          <w:szCs w:val="21"/>
        </w:rPr>
        <w:t xml:space="preserve"> </w:t>
      </w:r>
      <w:r>
        <w:rPr>
          <w:rFonts w:hint="eastAsia" w:ascii="仿宋" w:hAnsi="仿宋" w:eastAsia="仿宋"/>
          <w:sz w:val="21"/>
          <w:szCs w:val="21"/>
        </w:rPr>
        <w:t>国家外汇管理局关于境内居民通过特殊目的公司</w:t>
      </w:r>
      <w:r>
        <w:rPr>
          <w:rFonts w:hint="eastAsia" w:ascii="仿宋" w:hAnsi="仿宋" w:eastAsia="仿宋"/>
          <w:sz w:val="21"/>
          <w:szCs w:val="21"/>
        </w:rPr>
        <w:br w:type="textWrapping"/>
      </w:r>
      <w:r>
        <w:rPr>
          <w:rFonts w:hint="eastAsia" w:ascii="仿宋" w:hAnsi="仿宋" w:eastAsia="仿宋"/>
          <w:sz w:val="21"/>
          <w:szCs w:val="21"/>
        </w:rPr>
        <w:t xml:space="preserve">境外投融资及返程投资外汇管理有关问题的通知  </w:t>
      </w:r>
      <w:r>
        <w:rPr>
          <w:rFonts w:ascii="仿宋" w:hAnsi="仿宋" w:eastAsia="仿宋"/>
          <w:sz w:val="21"/>
          <w:szCs w:val="21"/>
        </w:rPr>
        <w:br w:type="textWrapping"/>
      </w:r>
      <w:r>
        <w:rPr>
          <w:rFonts w:hint="eastAsia" w:ascii="仿宋" w:hAnsi="仿宋" w:eastAsia="仿宋"/>
          <w:sz w:val="21"/>
          <w:szCs w:val="21"/>
        </w:rPr>
        <w:t>汇发〔2014〕37 号</w:t>
      </w:r>
      <w:bookmarkEnd w:id="648"/>
      <w:bookmarkEnd w:id="649"/>
      <w:bookmarkEnd w:id="650"/>
      <w:bookmarkEnd w:id="651"/>
    </w:p>
    <w:p>
      <w:pPr>
        <w:adjustRightInd w:val="0"/>
        <w:snapToGrid w:val="0"/>
        <w:spacing w:line="312" w:lineRule="auto"/>
        <w:rPr>
          <w:rFonts w:hint="eastAsia" w:ascii="仿宋" w:hAnsi="仿宋" w:eastAsia="仿宋"/>
          <w:szCs w:val="21"/>
        </w:rPr>
      </w:pPr>
      <w:r>
        <w:rPr>
          <w:rFonts w:hint="eastAsia" w:ascii="仿宋" w:hAnsi="仿宋" w:eastAsia="仿宋"/>
          <w:szCs w:val="21"/>
        </w:rPr>
        <w:t>国家外汇管理局各省、自治区、直辖市分局、外汇管理部，深圳、大连、青岛、厦门、宁波市分局；各中资外汇指定银行：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充分发挥市场在资源配置中的决定性作用，支持国家“走出去”战略的实施，充分利用国际国内两种资源、两个市场，进一步简化和便利境内居民通过特殊目的公司从事投融资活动所涉及的跨境资本交易，切实服务实体经济发展，有序提高跨境资本和金融交易可兑换程度，根据《中华人民共和国外汇管理条例》等规定，现就境内居民通过特殊目的公司境外投融资及返程投资外汇管理有关问题通知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本通知所称“特殊目的公司”，是指境内居民（含境内机构和境内居民个人）以投融资为目的，以其合法持有的境内企业资产或权益，或者以其合法持有的境外资产或权益，在境外直接设立或间接控制的境外企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本通知所称“返程投资”，是指境内居民直接或间接通过特殊目的公司对境内开展的直接投资活动，即通过新设、并购等方式在境内设立外商投资企业或项目（以下简称外商投资企业），并取得所有权、控制权、经营管理权等权益的行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本通知所称“境内机构”，是指中国境内依法设立的企业事业法人以及其他经济组织；“境内居民个人”是指持有中国境内居民身份证、军人身份证件、武装警察身份证件的中国公民，以及虽无中国境内合法身份证件、但因经济利益关系在中国境内习惯性居住的境外个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本通知所称“控制”，是指境内居民通过收购、信托、代持、投票权、回购、可转换债券等方式取得特殊目的公司的经营权、收益权或者决策权。</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国家外汇管理局及其分支机构（以下简称外汇局）对境内居民设立特殊目的公司实行登记管理。境内居民个人设立的特殊目的公司登记及相关外汇管理，按本通知执行。境内机构设立的特殊目的公司登记及相关外汇管理，按现行规定和本通知执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境内居民以境内外合法资产或权益向特殊目的公司出资前，应向外汇局申请办理境外投资外汇登记手续。境内居民以境内合法资产或权益出资的，应向注册地外汇局或者境内企业资产或权益所在地外汇局申请办理登记；境内居民以境外合法资产或权益出资的，应向注册地外汇局或者户籍所在地外汇局申请办理登记。</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境内居民个人应提交以下真实性证明材料办理境外投资外汇登记手续：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（一）书面申请与《境内居民个人境外投资外汇登记表》。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（二）个人身份证明文件。</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（三）特殊目的公司登记注册文件及股东或实际控制人证明文件（如股东名册、认缴人名册等）。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（四）境内外企业权力机构同意境外投融资的决议书（企业尚未设立的，提供权益所有人同意境外投融资的书面说明）。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（五）境内居民个人直接或间接持有的拟境外投融资境内企业资产或权益，或者合法持有境外资产或权益的证明文件。</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（六）在前述材料不能充分说明交易的真实性或申请材料之间的一致性时，要求提供的补充材料。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境内机构按《国家外汇管理局关于发布&lt;境内机构境外直接投资外汇管理规定&gt;的通知》（汇发〔2009〕30号）等相关规定办理境外投资外汇登记手续。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境内居民办理境外投资外汇登记后，方可办理后续业务。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境内居民及其设立的特殊目的公司，不得危害我国国家主权、安全和社会公共利益；不得违反我国法律法规；不得损害我国与有关国家（地区）关系；不得违反我国对外缔结的国际条约；不得涉及我国禁止出口的技术或产品。</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境外特殊目的公司登记不具有证明其投融资行为已符合行业主管部门合法合规的效力。</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已登记境外特殊目的公司发生境内居民个人股东、名称、经营期限等基本信息变更，或发生境内居民个人增资、减资、股权转让或置换、合并或分立等重要事项变更后，应及时到外汇局办理境外投资外汇变更登记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境内居民境外投资外汇变更登记完成后，方可办理后续业务（含利润、红利汇回）。</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非上市特殊目的公司以本企业股权或期权等为标的，对其直接或间接控制的境内企业的董事、监事、高级管理人员及其他与公司具有雇佣或劳动关系的员工进行权益激励的，相关境内居民个人在行权前可提交以下材料到外汇局申请办理特殊目的公司外汇登记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（一）书面申请与《境内居民个人境外投资外汇登记表》。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（二）已登记的特殊目的公司的境外投资外汇业务登记凭证。</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（三）相关境内企业出具的个人与其雇佣或劳动关系证明材料。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（四）特殊目的公司或其实际控制人出具的能够证明所涉权益激励真实性的证明材料。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（五）在前述材料不能充分说明交易的真实性或申请材料之间的一致性时，要求提供的补充材料。</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境内居民个人参与境外上市公司股权激励计划按相关外汇管理规定办理。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特殊目的公司完成境外融资后，融资资金如调回境内使用的，应遵守中国外商投资和外债管理等相关规定。返程投资设立的外商投资企业应按照现行外商直接投资外汇管理规定办理相关外汇登记手续，并应如实披露股东的实际控制人等有关信息。</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八、境内居民从特殊目的公司获得的利润、红利调回境内的，应按照经常项目外汇管理规定办理；资本变动外汇收入调回境内的，应按照资本项目外汇管理规定办理。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九、因转股、破产、解散、清算、经营期满、身份变更等原因造成境内居民不再持有已登记的特殊目的公司权益的，或者不再属于需要办理特殊目的公司登记的，应提交相关真实性证明材料及时到外汇局办理变更或注销登记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十、境内居民直接或间接控制的境内企业，可在真实、合理需求的基础上按现行规定向其已登记的特殊目的公司放款。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十一、境内居民可在真实、合理需求的基础上购汇汇出资金用于特殊目的公司设立、股份回购或退市等。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二、本通知实施前，境内居民以境内外合法资产或权益已向特殊目的公司出资但未按规定办理境外投资外汇登记的，境内居民应向外汇局出具说明函说明理由。外汇局根据合法性、合理性等原则办理补登记，对涉嫌违反外汇管理规定的，依法进行行政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十三、境内居民与境外特殊目的公司之间的跨境收支，应按现行规定办理国际收支统计申报。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十四、外汇局定期分析境内居民通过特殊目的公司境外投融资及返程投资整体情况，密切关注其对国际收支的影响，并加强对境内居民通过特殊目的公司境外投融资及返程投资的事中、事后监管。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十五、境内居民或其直接、间接控制的境内企业通过虚假或构造交易汇出资金用于特殊目的公司，外汇局根据《中华人民共和国外汇管理条例》第三十九条进行处罚。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境内居民未按规定办理相关外汇登记、未如实披露返程投资企业实际控制人信息、存在虚假承诺等行为，外汇局根据《中华人民共和国外汇管理条例》第四十八条第（五）项进行处罚。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在境内居民未按规定办理相关外汇登记、未如实披露返程投资企业实际控制人信息或虚假承诺的情况下，若发生资金流出，外汇局根据《中华人民共和国外汇管理条例》第三十九条进行处罚；若发生资金流入或结汇，根据《中华人民共和国外汇管理条例》第四十一条进行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境内居民与特殊目的公司相关跨境收支未按规定办理国际收支统计申报的，外汇局根据《中华人民共和国外汇管理条例》第四十八条第（一）项进行处罚。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六、本通知自发布之日起实施。《国家外汇管理局关于境内居民通过境外特殊目的公司融资及返程投资外汇管理有关问题的通知》（汇发〔2005〕75号）同时废止。之前相关规定与本通知内容不一致的，以本通知为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家外汇管理局各分局、外汇管理部接到本通知后，应及时转发辖内中心支局、支局、城市商业银行、农村商业银行、外资银行、农村合作银行；各中资银行接到通知后，应及时转发所辖各分支机构。执行中如遇问题，请及时向国家外汇管理局资本项目管理司反馈。</w:t>
      </w:r>
    </w:p>
    <w:p>
      <w:pPr>
        <w:rPr>
          <w:rFonts w:hint="eastAsia" w:ascii="仿宋" w:hAnsi="仿宋" w:eastAsia="仿宋"/>
          <w:szCs w:val="21"/>
        </w:rPr>
      </w:pPr>
      <w:r>
        <w:rPr>
          <w:rFonts w:ascii="仿宋" w:hAnsi="仿宋" w:eastAsia="仿宋"/>
          <w:szCs w:val="21"/>
        </w:rPr>
        <w:t xml:space="preserve"> </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附件：1. 返程投资外汇管理所涉业务操作指引（不在单独列示，见参考文档《资本项目外汇业务指引（2</w:t>
      </w:r>
      <w:r>
        <w:rPr>
          <w:rFonts w:ascii="仿宋" w:hAnsi="仿宋" w:eastAsia="仿宋"/>
          <w:szCs w:val="21"/>
        </w:rPr>
        <w:t>020</w:t>
      </w:r>
      <w:r>
        <w:rPr>
          <w:rFonts w:hint="eastAsia" w:ascii="仿宋" w:hAnsi="仿宋" w:eastAsia="仿宋"/>
          <w:szCs w:val="21"/>
        </w:rPr>
        <w:t>年版 ）》）</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 xml:space="preserve">      2. 资本项目直接投资外汇业务申请表（不在单独列示，见参考文档《资本项目外汇业务指引（2</w:t>
      </w:r>
      <w:r>
        <w:rPr>
          <w:rFonts w:ascii="仿宋" w:hAnsi="仿宋" w:eastAsia="仿宋"/>
          <w:szCs w:val="21"/>
        </w:rPr>
        <w:t>020</w:t>
      </w:r>
      <w:r>
        <w:rPr>
          <w:rFonts w:hint="eastAsia" w:ascii="仿宋" w:hAnsi="仿宋" w:eastAsia="仿宋"/>
          <w:szCs w:val="21"/>
        </w:rPr>
        <w:t>年版 ）》）</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 xml:space="preserve"> </w:t>
      </w:r>
    </w:p>
    <w:p>
      <w:pPr>
        <w:rPr>
          <w:rFonts w:hint="eastAsia" w:ascii="仿宋" w:hAnsi="仿宋" w:eastAsia="仿宋"/>
          <w:szCs w:val="21"/>
        </w:rPr>
      </w:pPr>
      <w:r>
        <w:rPr>
          <w:rFonts w:ascii="仿宋" w:hAnsi="仿宋" w:eastAsia="仿宋"/>
          <w:szCs w:val="21"/>
        </w:rPr>
        <w:t xml:space="preserve"> </w:t>
      </w:r>
    </w:p>
    <w:p>
      <w:pPr>
        <w:jc w:val="right"/>
        <w:rPr>
          <w:rFonts w:hint="eastAsia" w:ascii="仿宋" w:hAnsi="仿宋" w:eastAsia="仿宋"/>
          <w:szCs w:val="21"/>
        </w:rPr>
      </w:pPr>
      <w:r>
        <w:rPr>
          <w:rFonts w:hint="eastAsia" w:ascii="仿宋" w:hAnsi="仿宋" w:eastAsia="仿宋"/>
          <w:szCs w:val="21"/>
        </w:rPr>
        <w:t>国家外汇管理局</w:t>
      </w:r>
    </w:p>
    <w:p>
      <w:pPr>
        <w:jc w:val="right"/>
        <w:rPr>
          <w:rFonts w:hint="eastAsia" w:ascii="仿宋" w:hAnsi="仿宋" w:eastAsia="仿宋"/>
          <w:szCs w:val="21"/>
        </w:rPr>
      </w:pPr>
      <w:r>
        <w:rPr>
          <w:rFonts w:hint="eastAsia" w:ascii="仿宋" w:hAnsi="仿宋" w:eastAsia="仿宋"/>
          <w:szCs w:val="21"/>
        </w:rPr>
        <w:t>2014年7月4日</w:t>
      </w: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