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4"/>
        <w:adjustRightInd w:val="0"/>
        <w:snapToGrid w:val="0"/>
        <w:spacing w:before="0" w:after="156" w:afterLines="50" w:line="240" w:lineRule="auto"/>
        <w:jc w:val="center"/>
        <w:rPr>
          <w:rFonts w:hint="eastAsia" w:ascii="仿宋" w:hAnsi="仿宋" w:eastAsia="仿宋"/>
          <w:sz w:val="21"/>
          <w:szCs w:val="21"/>
        </w:rPr>
      </w:pPr>
      <w:bookmarkStart w:id="761" w:name="_Toc29643"/>
      <w:r>
        <w:rPr>
          <w:rFonts w:hint="eastAsia" w:ascii="仿宋" w:hAnsi="仿宋" w:eastAsia="仿宋"/>
          <w:sz w:val="21"/>
          <w:szCs w:val="21"/>
        </w:rPr>
        <w:t>81</w:t>
      </w:r>
      <w:r>
        <w:rPr>
          <w:rFonts w:ascii="仿宋" w:hAnsi="仿宋" w:eastAsia="仿宋"/>
          <w:sz w:val="21"/>
          <w:szCs w:val="21"/>
        </w:rPr>
        <w:t>.2</w:t>
      </w:r>
      <w:r>
        <w:rPr>
          <w:rFonts w:hint="eastAsia" w:ascii="仿宋" w:hAnsi="仿宋" w:eastAsia="仿宋"/>
          <w:sz w:val="21"/>
          <w:szCs w:val="21"/>
        </w:rPr>
        <w:t>中国人民银行 国家外汇管理局关于调整全口径跨境融资宏观审慎调节参数的通知</w:t>
      </w:r>
      <w:r>
        <w:rPr>
          <w:rFonts w:hint="eastAsia" w:ascii="仿宋" w:hAnsi="仿宋" w:eastAsia="仿宋"/>
          <w:sz w:val="21"/>
          <w:szCs w:val="21"/>
        </w:rPr>
        <w:br w:type="textWrapping"/>
      </w:r>
      <w:r>
        <w:rPr>
          <w:rFonts w:hint="eastAsia" w:ascii="仿宋" w:hAnsi="仿宋" w:eastAsia="仿宋"/>
          <w:sz w:val="21"/>
          <w:szCs w:val="21"/>
        </w:rPr>
        <w:t>银发〔2020〕6号</w:t>
      </w:r>
      <w:bookmarkEnd w:id="761"/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中国人民银行上海总部，各分行、营业管理部，各省会（首府）城市中心支行、深圳市中心支行；国家外汇管理局各省、自治区、直辖市分局、外汇管理部，深圳、大连、青岛、厦门、宁波市分局；国家开发银行，各政策性银行、国有商业银行、股份制商业银行，中国邮政储蓄银行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为进一步扩大利用外资，便利境内机构跨境融资，降低实体经济融资成本，根据当前宏观经济和国际收支状况，中国人民银行、国家外汇管理局决定将《中国人民银行关于全口径跨境融资宏观审慎管理有关事宜的通知》（银发〔</w:t>
      </w:r>
      <w:r>
        <w:rPr>
          <w:rFonts w:ascii="仿宋" w:hAnsi="仿宋" w:eastAsia="仿宋"/>
        </w:rPr>
        <w:t>2017〕9号）中的宏观审慎调节参数由1上调至1.25。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本通知自发布之日起实施。全口径跨境融资宏观审慎管理的其他事宜仍以《中国人民银行关于全口径跨境融资宏观审慎管理有关事宜的通知》为准。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 xml:space="preserve">中国人民银行 </w:t>
      </w:r>
      <w:r>
        <w:rPr>
          <w:rFonts w:ascii="仿宋" w:hAnsi="仿宋" w:eastAsia="仿宋"/>
        </w:rPr>
        <w:t xml:space="preserve"> 国家外汇管理局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2020年3月11日</w:t>
      </w:r>
    </w:p>
    <w:p>
      <w:pPr>
        <w:adjustRightInd w:val="0"/>
        <w:snapToGrid w:val="0"/>
        <w:spacing w:line="312" w:lineRule="auto"/>
        <w:rPr>
          <w:rFonts w:hint="eastAsia" w:ascii="仿宋" w:hAnsi="仿宋" w:eastAsia="仿宋" w:cs="Times New Roman"/>
          <w:szCs w:val="21"/>
        </w:rPr>
      </w:pPr>
    </w:p>
    <w:p>
      <w:pPr>
        <w:adjustRightInd w:val="0"/>
        <w:snapToGrid w:val="0"/>
        <w:spacing w:line="312" w:lineRule="auto"/>
        <w:rPr>
          <w:rFonts w:hint="eastAsia" w:ascii="仿宋" w:hAnsi="仿宋" w:eastAsia="仿宋" w:cs="Times New Roman"/>
          <w:szCs w:val="21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