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4"/>
        <w:adjustRightInd w:val="0"/>
        <w:snapToGrid w:val="0"/>
        <w:spacing w:before="0" w:after="156" w:afterLines="50" w:line="240" w:lineRule="auto"/>
        <w:jc w:val="center"/>
        <w:rPr>
          <w:rFonts w:hint="eastAsia" w:ascii="仿宋" w:hAnsi="仿宋" w:eastAsia="仿宋"/>
          <w:sz w:val="21"/>
          <w:szCs w:val="21"/>
        </w:rPr>
      </w:pPr>
      <w:bookmarkStart w:id="763" w:name="_Toc23663"/>
      <w:bookmarkStart w:id="764" w:name="_Toc33532757"/>
      <w:bookmarkStart w:id="765" w:name="_Toc520919755"/>
      <w:bookmarkStart w:id="766" w:name="_Toc520919466"/>
      <w:r>
        <w:rPr>
          <w:rFonts w:hint="eastAsia" w:ascii="仿宋" w:hAnsi="仿宋" w:eastAsia="仿宋"/>
          <w:sz w:val="21"/>
          <w:szCs w:val="21"/>
        </w:rPr>
        <w:t>81</w:t>
      </w:r>
      <w:r>
        <w:rPr>
          <w:rFonts w:ascii="仿宋" w:hAnsi="仿宋" w:eastAsia="仿宋"/>
          <w:sz w:val="21"/>
          <w:szCs w:val="21"/>
        </w:rPr>
        <w:t>.4</w:t>
      </w:r>
      <w:r>
        <w:rPr>
          <w:rFonts w:hint="eastAsia" w:ascii="仿宋" w:hAnsi="仿宋" w:eastAsia="仿宋"/>
          <w:sz w:val="21"/>
          <w:szCs w:val="21"/>
        </w:rPr>
        <w:t xml:space="preserve">中国人民银行 国家外汇管理局关于调整跨境融资宏观审慎管理有关事宜的通知 </w:t>
      </w:r>
      <w:r>
        <w:rPr>
          <w:rFonts w:ascii="仿宋" w:hAnsi="仿宋" w:eastAsia="仿宋"/>
          <w:sz w:val="21"/>
          <w:szCs w:val="21"/>
        </w:rPr>
        <w:br w:type="textWrapping"/>
      </w:r>
      <w:r>
        <w:rPr>
          <w:rFonts w:hint="eastAsia" w:ascii="仿宋" w:hAnsi="仿宋" w:eastAsia="仿宋"/>
          <w:sz w:val="21"/>
          <w:szCs w:val="21"/>
        </w:rPr>
        <w:t>银发〔</w:t>
      </w:r>
      <w:r>
        <w:rPr>
          <w:rFonts w:ascii="仿宋" w:hAnsi="仿宋" w:eastAsia="仿宋"/>
          <w:sz w:val="21"/>
          <w:szCs w:val="21"/>
        </w:rPr>
        <w:t>2021〕138号</w:t>
      </w:r>
      <w:bookmarkEnd w:id="763"/>
    </w:p>
    <w:p>
      <w:pPr>
        <w:adjustRightInd w:val="0"/>
        <w:snapToGrid w:val="0"/>
        <w:spacing w:line="312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中国人民银行上海总部，各分行、营业管理部，各省会（首府）</w:t>
      </w:r>
      <w:r>
        <w:rPr>
          <w:rFonts w:ascii="仿宋" w:hAnsi="仿宋" w:eastAsia="仿宋"/>
        </w:rPr>
        <w:t>城市中心支行，各副省级城市中心支行；国家外汇管理局各省、自治区、直辖市分局、外汇管理部，深圳、大连、青岛、厦门、宁波市分局；国家开发银行，各政策性银行、国有商业银行、股份制商业银行，中国邮政储蓄银行：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根据当前宏观经济和国际收支状况，中国人民银行、国家外汇管理局决定将资本小于</w:t>
      </w:r>
      <w:r>
        <w:rPr>
          <w:rFonts w:ascii="仿宋" w:hAnsi="仿宋" w:eastAsia="仿宋"/>
        </w:rPr>
        <w:t>1000亿元人民币的银行类金融机构（含外国银行境内分行）的跨境融资杠杆率从0.8</w:t>
      </w:r>
      <w:r>
        <w:rPr>
          <w:rFonts w:hint="eastAsia" w:ascii="仿宋" w:hAnsi="仿宋" w:eastAsia="仿宋"/>
        </w:rPr>
        <w:t>上</w:t>
      </w:r>
      <w:r>
        <w:rPr>
          <w:rFonts w:ascii="仿宋" w:hAnsi="仿宋" w:eastAsia="仿宋"/>
        </w:rPr>
        <w:t>调至2,并给予其中每家银行100亿元人民币的初始融资额度，即其跨境融资风险加权余额上限=资本*跨境融资杠杆率*宏观审慎调节参数+100。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本通知自发布之日起实施。请人民银行上海总部，各分行、</w:t>
      </w:r>
      <w:r>
        <w:rPr>
          <w:rFonts w:ascii="仿宋" w:hAnsi="仿宋" w:eastAsia="仿宋"/>
        </w:rPr>
        <w:t>营业管理部，各省会（首府）城市中心支行，各副省级城市中心支行，国家外汇管理局各省、自治区、直辖市分局、外汇管理部,深圳、大连、青岛、厦门、宁波市分局将本通知转发至辖区内银行类金融机构（含外国银行境内分行）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</w:p>
    <w:p>
      <w:pPr>
        <w:adjustRightInd w:val="0"/>
        <w:snapToGrid w:val="0"/>
        <w:spacing w:line="312" w:lineRule="auto"/>
        <w:ind w:firstLine="420" w:firstLineChars="200"/>
        <w:jc w:val="right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中国人民银行</w:t>
      </w:r>
    </w:p>
    <w:p>
      <w:pPr>
        <w:adjustRightInd w:val="0"/>
        <w:snapToGrid w:val="0"/>
        <w:spacing w:line="312" w:lineRule="auto"/>
        <w:ind w:firstLine="420" w:firstLineChars="200"/>
        <w:jc w:val="right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国家外汇局</w:t>
      </w:r>
    </w:p>
    <w:p>
      <w:pPr>
        <w:adjustRightInd w:val="0"/>
        <w:snapToGrid w:val="0"/>
        <w:spacing w:line="312" w:lineRule="auto"/>
        <w:ind w:firstLine="420" w:firstLineChars="200"/>
        <w:jc w:val="right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2</w:t>
      </w:r>
      <w:r>
        <w:rPr>
          <w:rFonts w:ascii="仿宋" w:hAnsi="仿宋" w:eastAsia="仿宋"/>
        </w:rPr>
        <w:t>021</w:t>
      </w:r>
      <w:r>
        <w:rPr>
          <w:rFonts w:hint="eastAsia" w:ascii="仿宋" w:hAnsi="仿宋" w:eastAsia="仿宋"/>
        </w:rPr>
        <w:t>年5月2</w:t>
      </w:r>
      <w:r>
        <w:rPr>
          <w:rFonts w:ascii="仿宋" w:hAnsi="仿宋" w:eastAsia="仿宋"/>
        </w:rPr>
        <w:t>5</w:t>
      </w:r>
      <w:r>
        <w:rPr>
          <w:rFonts w:hint="eastAsia" w:ascii="仿宋" w:hAnsi="仿宋" w:eastAsia="仿宋"/>
        </w:rPr>
        <w:t>日</w:t>
      </w:r>
    </w:p>
    <w:p>
      <w:pPr>
        <w:adjustRightInd w:val="0"/>
        <w:snapToGrid w:val="0"/>
        <w:spacing w:line="312" w:lineRule="auto"/>
        <w:ind w:firstLine="420" w:firstLineChars="200"/>
        <w:jc w:val="right"/>
        <w:rPr>
          <w:rFonts w:hint="eastAsia" w:ascii="仿宋" w:hAnsi="仿宋" w:eastAsia="仿宋"/>
        </w:rPr>
      </w:pPr>
    </w:p>
    <w:p>
      <w:pPr>
        <w:adjustRightInd w:val="0"/>
        <w:snapToGrid w:val="0"/>
        <w:spacing w:line="312" w:lineRule="auto"/>
        <w:ind w:firstLine="420" w:firstLineChars="200"/>
        <w:jc w:val="right"/>
        <w:rPr>
          <w:rFonts w:hint="eastAsia" w:ascii="仿宋" w:hAnsi="仿宋" w:eastAsia="仿宋"/>
        </w:rPr>
      </w:pPr>
    </w:p>
    <w:p>
      <w:pPr>
        <w:widowControl/>
        <w:jc w:val="left"/>
        <w:rPr>
          <w:rFonts w:hint="eastAsia" w:ascii="仿宋" w:hAnsi="仿宋" w:eastAsia="仿宋"/>
        </w:rPr>
      </w:pPr>
      <w:r>
        <w:rPr>
          <w:rFonts w:ascii="仿宋" w:hAnsi="仿宋" w:eastAsia="仿宋"/>
        </w:rPr>
        <w:br w:type="page"/>
      </w:r>
    </w:p>
    <w:p>
      <w:pPr>
        <w:adjustRightInd w:val="0"/>
        <w:snapToGrid w:val="0"/>
        <w:spacing w:line="312" w:lineRule="auto"/>
        <w:ind w:firstLine="420" w:firstLineChars="200"/>
        <w:jc w:val="right"/>
        <w:rPr>
          <w:rFonts w:hint="eastAsia" w:ascii="仿宋" w:hAnsi="仿宋" w:eastAsia="仿宋"/>
        </w:rPr>
      </w:pP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